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68" w:rsidRPr="0089644B" w:rsidRDefault="005A3ABE" w:rsidP="008A7568">
      <w:pPr>
        <w:rPr>
          <w:sz w:val="24"/>
          <w:szCs w:val="24"/>
          <w:lang w:val="en-US"/>
        </w:rPr>
      </w:pPr>
      <w:r>
        <w:rPr>
          <w:noProof/>
          <w:sz w:val="24"/>
          <w:szCs w:val="24"/>
          <w:lang w:val="et-EE" w:eastAsia="et-EE"/>
        </w:rPr>
        <mc:AlternateContent>
          <mc:Choice Requires="wpg">
            <w:drawing>
              <wp:anchor distT="0" distB="0" distL="114300" distR="114300" simplePos="0" relativeHeight="251657728" behindDoc="0" locked="0" layoutInCell="1" allowOverlap="1">
                <wp:simplePos x="0" y="0"/>
                <wp:positionH relativeFrom="column">
                  <wp:posOffset>-412750</wp:posOffset>
                </wp:positionH>
                <wp:positionV relativeFrom="paragraph">
                  <wp:posOffset>137795</wp:posOffset>
                </wp:positionV>
                <wp:extent cx="6426200" cy="1158240"/>
                <wp:effectExtent l="0" t="0" r="12700" b="22860"/>
                <wp:wrapTight wrapText="bothSides">
                  <wp:wrapPolygon edited="0">
                    <wp:start x="0" y="0"/>
                    <wp:lineTo x="0" y="21671"/>
                    <wp:lineTo x="21579" y="21671"/>
                    <wp:lineTo x="21579" y="0"/>
                    <wp:lineTo x="0" y="0"/>
                  </wp:wrapPolygon>
                </wp:wrapTight>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1158240"/>
                          <a:chOff x="868" y="1031"/>
                          <a:chExt cx="10120" cy="1725"/>
                        </a:xfrm>
                      </wpg:grpSpPr>
                      <wpg:grpSp>
                        <wpg:cNvPr id="3" name="Group 36"/>
                        <wpg:cNvGrpSpPr>
                          <a:grpSpLocks/>
                        </wpg:cNvGrpSpPr>
                        <wpg:grpSpPr bwMode="auto">
                          <a:xfrm>
                            <a:off x="868" y="1031"/>
                            <a:ext cx="10120" cy="1461"/>
                            <a:chOff x="868" y="2186"/>
                            <a:chExt cx="10120" cy="1461"/>
                          </a:xfrm>
                        </wpg:grpSpPr>
                        <wps:wsp>
                          <wps:cNvPr id="4" name="Text Box 37"/>
                          <wps:cNvSpPr txBox="1">
                            <a:spLocks noChangeArrowheads="1"/>
                          </wps:cNvSpPr>
                          <wps:spPr bwMode="auto">
                            <a:xfrm>
                              <a:off x="3398" y="2188"/>
                              <a:ext cx="6270" cy="540"/>
                            </a:xfrm>
                            <a:prstGeom prst="rect">
                              <a:avLst/>
                            </a:prstGeom>
                            <a:solidFill>
                              <a:srgbClr val="FFFFFF"/>
                            </a:solidFill>
                            <a:ln w="9525">
                              <a:solidFill>
                                <a:srgbClr val="000000"/>
                              </a:solidFill>
                              <a:miter lim="800000"/>
                              <a:headEnd/>
                              <a:tailEnd/>
                            </a:ln>
                          </wps:spPr>
                          <wps:txbx>
                            <w:txbxContent>
                              <w:p w:rsidR="008A7568" w:rsidRPr="0003011B" w:rsidRDefault="0003011B" w:rsidP="008A7568">
                                <w:pPr>
                                  <w:rPr>
                                    <w:lang w:val="et-EE"/>
                                  </w:rPr>
                                </w:pPr>
                                <w:r>
                                  <w:rPr>
                                    <w:lang w:val="et-EE"/>
                                  </w:rPr>
                                  <w:t xml:space="preserve">TMC – </w:t>
                                </w:r>
                                <w:proofErr w:type="spellStart"/>
                                <w:r>
                                  <w:rPr>
                                    <w:lang w:val="et-EE"/>
                                  </w:rPr>
                                  <w:t>Tinni</w:t>
                                </w:r>
                                <w:proofErr w:type="spellEnd"/>
                                <w:r>
                                  <w:rPr>
                                    <w:lang w:val="et-EE"/>
                                  </w:rPr>
                                  <w:t xml:space="preserve"> </w:t>
                                </w:r>
                                <w:proofErr w:type="spellStart"/>
                                <w:r>
                                  <w:rPr>
                                    <w:lang w:val="et-EE"/>
                                  </w:rPr>
                                  <w:t>Management</w:t>
                                </w:r>
                                <w:proofErr w:type="spellEnd"/>
                                <w:r>
                                  <w:rPr>
                                    <w:lang w:val="et-EE"/>
                                  </w:rPr>
                                  <w:t xml:space="preserve"> </w:t>
                                </w:r>
                                <w:proofErr w:type="spellStart"/>
                                <w:r>
                                  <w:rPr>
                                    <w:lang w:val="et-EE"/>
                                  </w:rPr>
                                  <w:t>Consulting</w:t>
                                </w:r>
                                <w:proofErr w:type="spellEnd"/>
                              </w:p>
                            </w:txbxContent>
                          </wps:txbx>
                          <wps:bodyPr rot="0" vert="horz" wrap="square" lIns="91440" tIns="45720" rIns="91440" bIns="45720" anchor="t" anchorCtr="0" upright="1">
                            <a:noAutofit/>
                          </wps:bodyPr>
                        </wps:wsp>
                        <wps:wsp>
                          <wps:cNvPr id="5" name="Text Box 38"/>
                          <wps:cNvSpPr txBox="1">
                            <a:spLocks noChangeArrowheads="1"/>
                          </wps:cNvSpPr>
                          <wps:spPr bwMode="auto">
                            <a:xfrm>
                              <a:off x="3398" y="2728"/>
                              <a:ext cx="6270" cy="823"/>
                            </a:xfrm>
                            <a:prstGeom prst="rect">
                              <a:avLst/>
                            </a:prstGeom>
                            <a:solidFill>
                              <a:srgbClr val="FFFFFF"/>
                            </a:solidFill>
                            <a:ln w="9525">
                              <a:solidFill>
                                <a:srgbClr val="000000"/>
                              </a:solidFill>
                              <a:miter lim="800000"/>
                              <a:headEnd/>
                              <a:tailEnd/>
                            </a:ln>
                          </wps:spPr>
                          <wps:txbx>
                            <w:txbxContent>
                              <w:p w:rsidR="008A7568" w:rsidRPr="008D1276" w:rsidRDefault="008A7568" w:rsidP="008A7568">
                                <w:pPr>
                                  <w:rPr>
                                    <w:b/>
                                    <w:bCs/>
                                    <w:sz w:val="32"/>
                                    <w:szCs w:val="32"/>
                                  </w:rPr>
                                </w:pPr>
                                <w:r w:rsidRPr="008D1276">
                                  <w:rPr>
                                    <w:b/>
                                    <w:bCs/>
                                    <w:sz w:val="32"/>
                                    <w:szCs w:val="32"/>
                                  </w:rPr>
                                  <w:t>PAVEMENT INFORMATION NOTE</w:t>
                                </w:r>
                              </w:p>
                            </w:txbxContent>
                          </wps:txbx>
                          <wps:bodyPr rot="0" vert="horz" wrap="square" lIns="91440" tIns="45720" rIns="91440" bIns="45720" anchor="t" anchorCtr="0" upright="1">
                            <a:noAutofit/>
                          </wps:bodyPr>
                        </wps:wsp>
                        <wps:wsp>
                          <wps:cNvPr id="6" name="Text Box 39"/>
                          <wps:cNvSpPr txBox="1">
                            <a:spLocks noChangeArrowheads="1"/>
                          </wps:cNvSpPr>
                          <wps:spPr bwMode="auto">
                            <a:xfrm>
                              <a:off x="868" y="2188"/>
                              <a:ext cx="2529" cy="1459"/>
                            </a:xfrm>
                            <a:prstGeom prst="rect">
                              <a:avLst/>
                            </a:prstGeom>
                            <a:solidFill>
                              <a:srgbClr val="FFFFFF"/>
                            </a:solidFill>
                            <a:ln w="9525">
                              <a:solidFill>
                                <a:srgbClr val="000000"/>
                              </a:solidFill>
                              <a:miter lim="800000"/>
                              <a:headEnd/>
                              <a:tailEnd/>
                            </a:ln>
                          </wps:spPr>
                          <wps:txbx>
                            <w:txbxContent>
                              <w:p w:rsidR="008A7568" w:rsidRPr="005B549F" w:rsidRDefault="005A3ABE" w:rsidP="008A7568">
                                <w:pPr>
                                  <w:jc w:val="center"/>
                                </w:pPr>
                                <w:r>
                                  <w:rPr>
                                    <w:noProof/>
                                    <w:lang w:val="et-EE" w:eastAsia="et-EE"/>
                                  </w:rPr>
                                  <w:drawing>
                                    <wp:inline distT="0" distB="0" distL="0" distR="0">
                                      <wp:extent cx="1412240" cy="751840"/>
                                      <wp:effectExtent l="0" t="0" r="0" b="0"/>
                                      <wp:docPr id="1" name="Picture 1" descr="T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240" cy="7518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 name="Text Box 40"/>
                          <wps:cNvSpPr txBox="1">
                            <a:spLocks noChangeArrowheads="1"/>
                          </wps:cNvSpPr>
                          <wps:spPr bwMode="auto">
                            <a:xfrm>
                              <a:off x="9668" y="2186"/>
                              <a:ext cx="1320" cy="1365"/>
                            </a:xfrm>
                            <a:prstGeom prst="rect">
                              <a:avLst/>
                            </a:prstGeom>
                            <a:solidFill>
                              <a:srgbClr val="FFFFFF"/>
                            </a:solidFill>
                            <a:ln w="9525">
                              <a:solidFill>
                                <a:srgbClr val="000000"/>
                              </a:solidFill>
                              <a:miter lim="800000"/>
                              <a:headEnd/>
                              <a:tailEnd/>
                            </a:ln>
                          </wps:spPr>
                          <wps:txbx>
                            <w:txbxContent>
                              <w:p w:rsidR="008A7568" w:rsidRPr="005B549F" w:rsidRDefault="008A7568" w:rsidP="008A7568">
                                <w:pPr>
                                  <w:jc w:val="center"/>
                                  <w:rPr>
                                    <w:b/>
                                    <w:bCs/>
                                    <w:sz w:val="24"/>
                                    <w:szCs w:val="24"/>
                                  </w:rPr>
                                </w:pPr>
                                <w:proofErr w:type="gramStart"/>
                                <w:r w:rsidRPr="005B549F">
                                  <w:rPr>
                                    <w:b/>
                                    <w:bCs/>
                                    <w:sz w:val="24"/>
                                    <w:szCs w:val="24"/>
                                  </w:rPr>
                                  <w:t>Issue No.</w:t>
                                </w:r>
                                <w:proofErr w:type="gramEnd"/>
                              </w:p>
                              <w:p w:rsidR="008A7568" w:rsidRPr="005A3ABE" w:rsidRDefault="005A3ABE" w:rsidP="008A7568">
                                <w:pPr>
                                  <w:jc w:val="center"/>
                                  <w:rPr>
                                    <w:b/>
                                    <w:bCs/>
                                    <w:sz w:val="32"/>
                                    <w:szCs w:val="32"/>
                                  </w:rPr>
                                </w:pPr>
                                <w:r>
                                  <w:rPr>
                                    <w:b/>
                                    <w:bCs/>
                                    <w:sz w:val="32"/>
                                    <w:szCs w:val="32"/>
                                  </w:rPr>
                                  <w:t>73</w:t>
                                </w:r>
                              </w:p>
                            </w:txbxContent>
                          </wps:txbx>
                          <wps:bodyPr rot="0" vert="horz" wrap="square" lIns="91440" tIns="45720" rIns="91440" bIns="45720" anchor="t" anchorCtr="0" upright="1">
                            <a:noAutofit/>
                          </wps:bodyPr>
                        </wps:wsp>
                      </wpg:grpSp>
                      <wps:wsp>
                        <wps:cNvPr id="8" name="Text Box 41"/>
                        <wps:cNvSpPr txBox="1">
                          <a:spLocks noChangeArrowheads="1"/>
                        </wps:cNvSpPr>
                        <wps:spPr bwMode="auto">
                          <a:xfrm>
                            <a:off x="868" y="2393"/>
                            <a:ext cx="8800" cy="360"/>
                          </a:xfrm>
                          <a:prstGeom prst="rect">
                            <a:avLst/>
                          </a:prstGeom>
                          <a:solidFill>
                            <a:srgbClr val="FFFFFF"/>
                          </a:solidFill>
                          <a:ln w="9525">
                            <a:solidFill>
                              <a:srgbClr val="000000"/>
                            </a:solidFill>
                            <a:miter lim="800000"/>
                            <a:headEnd/>
                            <a:tailEnd/>
                          </a:ln>
                        </wps:spPr>
                        <wps:txbx>
                          <w:txbxContent>
                            <w:p w:rsidR="008A7568" w:rsidRPr="008A275A" w:rsidRDefault="008A7568" w:rsidP="008A7568">
                              <w:pPr>
                                <w:rPr>
                                  <w:sz w:val="18"/>
                                  <w:szCs w:val="18"/>
                                </w:rPr>
                              </w:pPr>
                              <w:proofErr w:type="gramStart"/>
                              <w:r w:rsidRPr="008A275A">
                                <w:rPr>
                                  <w:sz w:val="18"/>
                                  <w:szCs w:val="18"/>
                                </w:rPr>
                                <w:t>Edited by Arvo Tinni.</w:t>
                              </w:r>
                              <w:proofErr w:type="gramEnd"/>
                              <w:r w:rsidRPr="008A275A">
                                <w:rPr>
                                  <w:sz w:val="18"/>
                                  <w:szCs w:val="18"/>
                                </w:rPr>
                                <w:t xml:space="preserve">  Email </w:t>
                              </w:r>
                              <w:hyperlink r:id="rId10" w:history="1">
                                <w:r w:rsidR="0003011B" w:rsidRPr="00937087">
                                  <w:rPr>
                                    <w:rStyle w:val="Hperlink"/>
                                    <w:sz w:val="18"/>
                                    <w:szCs w:val="18"/>
                                  </w:rPr>
                                  <w:t>arvo@tinni.com.au</w:t>
                                </w:r>
                              </w:hyperlink>
                              <w:r w:rsidRPr="008A275A">
                                <w:rPr>
                                  <w:sz w:val="18"/>
                                  <w:szCs w:val="18"/>
                                </w:rPr>
                                <w:t xml:space="preserve">  </w:t>
                              </w:r>
                            </w:p>
                          </w:txbxContent>
                        </wps:txbx>
                        <wps:bodyPr rot="0" vert="horz" wrap="square" lIns="91440" tIns="45720" rIns="91440" bIns="45720" anchor="t" anchorCtr="0" upright="1">
                          <a:noAutofit/>
                        </wps:bodyPr>
                      </wps:wsp>
                      <wps:wsp>
                        <wps:cNvPr id="9" name="Text Box 42"/>
                        <wps:cNvSpPr txBox="1">
                          <a:spLocks noChangeArrowheads="1"/>
                        </wps:cNvSpPr>
                        <wps:spPr bwMode="auto">
                          <a:xfrm>
                            <a:off x="9668" y="2396"/>
                            <a:ext cx="1320" cy="360"/>
                          </a:xfrm>
                          <a:prstGeom prst="rect">
                            <a:avLst/>
                          </a:prstGeom>
                          <a:solidFill>
                            <a:srgbClr val="FFFFFF"/>
                          </a:solidFill>
                          <a:ln w="9525">
                            <a:solidFill>
                              <a:srgbClr val="000000"/>
                            </a:solidFill>
                            <a:miter lim="800000"/>
                            <a:headEnd/>
                            <a:tailEnd/>
                          </a:ln>
                        </wps:spPr>
                        <wps:txbx>
                          <w:txbxContent>
                            <w:p w:rsidR="008A7568" w:rsidRPr="0089644B" w:rsidRDefault="00C26003" w:rsidP="008A7568">
                              <w:pPr>
                                <w:rPr>
                                  <w:sz w:val="16"/>
                                  <w:szCs w:val="16"/>
                                  <w:lang w:val="en-US"/>
                                </w:rPr>
                              </w:pPr>
                              <w:r>
                                <w:rPr>
                                  <w:sz w:val="16"/>
                                  <w:szCs w:val="16"/>
                                  <w:lang w:val="en-US"/>
                                </w:rPr>
                                <w:t>23</w:t>
                              </w:r>
                              <w:r w:rsidR="005A3ABE">
                                <w:rPr>
                                  <w:sz w:val="16"/>
                                  <w:szCs w:val="16"/>
                                  <w:lang w:val="en-US"/>
                                </w:rPr>
                                <w:t xml:space="preserve"> 10 2015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2.5pt;margin-top:10.85pt;width:506pt;height:91.2pt;z-index:251657728" coordorigin="868,1031" coordsize="101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">
                <v:group id="Group 36" o:spid="_x0000_s1027" style="position:absolute;left:868;top:1031;width:10120;height:1461" coordorigin="868,2186" coordsize="10120,1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37" o:spid="_x0000_s1028" type="#_x0000_t202" style="position:absolute;left:3398;top:2188;width:6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A7568" w:rsidRPr="0003011B" w:rsidRDefault="0003011B" w:rsidP="008A7568">
                          <w:pPr>
                            <w:rPr>
                              <w:lang w:val="et-EE"/>
                            </w:rPr>
                          </w:pPr>
                          <w:r>
                            <w:rPr>
                              <w:lang w:val="et-EE"/>
                            </w:rPr>
                            <w:t xml:space="preserve">TMC – </w:t>
                          </w:r>
                          <w:proofErr w:type="spellStart"/>
                          <w:r>
                            <w:rPr>
                              <w:lang w:val="et-EE"/>
                            </w:rPr>
                            <w:t>Tinni</w:t>
                          </w:r>
                          <w:proofErr w:type="spellEnd"/>
                          <w:r>
                            <w:rPr>
                              <w:lang w:val="et-EE"/>
                            </w:rPr>
                            <w:t xml:space="preserve"> </w:t>
                          </w:r>
                          <w:proofErr w:type="spellStart"/>
                          <w:r>
                            <w:rPr>
                              <w:lang w:val="et-EE"/>
                            </w:rPr>
                            <w:t>Management</w:t>
                          </w:r>
                          <w:proofErr w:type="spellEnd"/>
                          <w:r>
                            <w:rPr>
                              <w:lang w:val="et-EE"/>
                            </w:rPr>
                            <w:t xml:space="preserve"> </w:t>
                          </w:r>
                          <w:proofErr w:type="spellStart"/>
                          <w:r>
                            <w:rPr>
                              <w:lang w:val="et-EE"/>
                            </w:rPr>
                            <w:t>Consulting</w:t>
                          </w:r>
                          <w:proofErr w:type="spellEnd"/>
                        </w:p>
                      </w:txbxContent>
                    </v:textbox>
                  </v:shape>
                  <v:shape id="Text Box 38" o:spid="_x0000_s1029" type="#_x0000_t202" style="position:absolute;left:3398;top:2728;width:6270;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A7568" w:rsidRPr="008D1276" w:rsidRDefault="008A7568" w:rsidP="008A7568">
                          <w:pPr>
                            <w:rPr>
                              <w:b/>
                              <w:bCs/>
                              <w:sz w:val="32"/>
                              <w:szCs w:val="32"/>
                            </w:rPr>
                          </w:pPr>
                          <w:r w:rsidRPr="008D1276">
                            <w:rPr>
                              <w:b/>
                              <w:bCs/>
                              <w:sz w:val="32"/>
                              <w:szCs w:val="32"/>
                            </w:rPr>
                            <w:t>PAVEMENT INFORMATION NOTE</w:t>
                          </w:r>
                        </w:p>
                      </w:txbxContent>
                    </v:textbox>
                  </v:shape>
                  <v:shape id="Text Box 39" o:spid="_x0000_s1030" type="#_x0000_t202" style="position:absolute;left:868;top:2188;width:2529;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A7568" w:rsidRPr="005B549F" w:rsidRDefault="005A3ABE" w:rsidP="008A7568">
                          <w:pPr>
                            <w:jc w:val="center"/>
                          </w:pPr>
                          <w:r>
                            <w:rPr>
                              <w:noProof/>
                              <w:lang w:val="et-EE" w:eastAsia="et-EE"/>
                            </w:rPr>
                            <w:drawing>
                              <wp:inline distT="0" distB="0" distL="0" distR="0">
                                <wp:extent cx="1412240" cy="751840"/>
                                <wp:effectExtent l="0" t="0" r="0" b="0"/>
                                <wp:docPr id="1" name="Picture 1" descr="T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240" cy="751840"/>
                                        </a:xfrm>
                                        <a:prstGeom prst="rect">
                                          <a:avLst/>
                                        </a:prstGeom>
                                        <a:noFill/>
                                        <a:ln>
                                          <a:noFill/>
                                        </a:ln>
                                      </pic:spPr>
                                    </pic:pic>
                                  </a:graphicData>
                                </a:graphic>
                              </wp:inline>
                            </w:drawing>
                          </w:r>
                        </w:p>
                      </w:txbxContent>
                    </v:textbox>
                  </v:shape>
                  <v:shape id="Text Box 40" o:spid="_x0000_s1031" type="#_x0000_t202" style="position:absolute;left:9668;top:2186;width:132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A7568" w:rsidRPr="005B549F" w:rsidRDefault="008A7568" w:rsidP="008A7568">
                          <w:pPr>
                            <w:jc w:val="center"/>
                            <w:rPr>
                              <w:b/>
                              <w:bCs/>
                              <w:sz w:val="24"/>
                              <w:szCs w:val="24"/>
                            </w:rPr>
                          </w:pPr>
                          <w:proofErr w:type="gramStart"/>
                          <w:r w:rsidRPr="005B549F">
                            <w:rPr>
                              <w:b/>
                              <w:bCs/>
                              <w:sz w:val="24"/>
                              <w:szCs w:val="24"/>
                            </w:rPr>
                            <w:t>Issue No.</w:t>
                          </w:r>
                          <w:proofErr w:type="gramEnd"/>
                        </w:p>
                        <w:p w:rsidR="008A7568" w:rsidRPr="005A3ABE" w:rsidRDefault="005A3ABE" w:rsidP="008A7568">
                          <w:pPr>
                            <w:jc w:val="center"/>
                            <w:rPr>
                              <w:b/>
                              <w:bCs/>
                              <w:sz w:val="32"/>
                              <w:szCs w:val="32"/>
                            </w:rPr>
                          </w:pPr>
                          <w:r>
                            <w:rPr>
                              <w:b/>
                              <w:bCs/>
                              <w:sz w:val="32"/>
                              <w:szCs w:val="32"/>
                            </w:rPr>
                            <w:t>73</w:t>
                          </w:r>
                        </w:p>
                      </w:txbxContent>
                    </v:textbox>
                  </v:shape>
                </v:group>
                <v:shape id="Text Box 41" o:spid="_x0000_s1032" type="#_x0000_t202" style="position:absolute;left:868;top:2393;width:8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A7568" w:rsidRPr="008A275A" w:rsidRDefault="008A7568" w:rsidP="008A7568">
                        <w:pPr>
                          <w:rPr>
                            <w:sz w:val="18"/>
                            <w:szCs w:val="18"/>
                          </w:rPr>
                        </w:pPr>
                        <w:proofErr w:type="gramStart"/>
                        <w:r w:rsidRPr="008A275A">
                          <w:rPr>
                            <w:sz w:val="18"/>
                            <w:szCs w:val="18"/>
                          </w:rPr>
                          <w:t>Edited by Arvo Tinni.</w:t>
                        </w:r>
                        <w:proofErr w:type="gramEnd"/>
                        <w:r w:rsidRPr="008A275A">
                          <w:rPr>
                            <w:sz w:val="18"/>
                            <w:szCs w:val="18"/>
                          </w:rPr>
                          <w:t xml:space="preserve">  Email </w:t>
                        </w:r>
                        <w:hyperlink r:id="rId11" w:history="1">
                          <w:r w:rsidR="0003011B" w:rsidRPr="00937087">
                            <w:rPr>
                              <w:rStyle w:val="Hperlink"/>
                              <w:sz w:val="18"/>
                              <w:szCs w:val="18"/>
                            </w:rPr>
                            <w:t>arvo@tinni.com.au</w:t>
                          </w:r>
                        </w:hyperlink>
                        <w:r w:rsidRPr="008A275A">
                          <w:rPr>
                            <w:sz w:val="18"/>
                            <w:szCs w:val="18"/>
                          </w:rPr>
                          <w:t xml:space="preserve">  </w:t>
                        </w:r>
                      </w:p>
                    </w:txbxContent>
                  </v:textbox>
                </v:shape>
                <v:shape id="Text Box 42" o:spid="_x0000_s1033" type="#_x0000_t202" style="position:absolute;left:9668;top:2396;width:1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A7568" w:rsidRPr="0089644B" w:rsidRDefault="00C26003" w:rsidP="008A7568">
                        <w:pPr>
                          <w:rPr>
                            <w:sz w:val="16"/>
                            <w:szCs w:val="16"/>
                            <w:lang w:val="en-US"/>
                          </w:rPr>
                        </w:pPr>
                        <w:r>
                          <w:rPr>
                            <w:sz w:val="16"/>
                            <w:szCs w:val="16"/>
                            <w:lang w:val="en-US"/>
                          </w:rPr>
                          <w:t>23</w:t>
                        </w:r>
                        <w:r w:rsidR="005A3ABE">
                          <w:rPr>
                            <w:sz w:val="16"/>
                            <w:szCs w:val="16"/>
                            <w:lang w:val="en-US"/>
                          </w:rPr>
                          <w:t xml:space="preserve"> 10 2015</w:t>
                        </w:r>
                      </w:p>
                    </w:txbxContent>
                  </v:textbox>
                </v:shape>
                <w10:wrap type="tight"/>
              </v:group>
            </w:pict>
          </mc:Fallback>
        </mc:AlternateContent>
      </w:r>
    </w:p>
    <w:p w:rsidR="005A3ABE" w:rsidRPr="005A3ABE" w:rsidRDefault="005A3ABE" w:rsidP="005A3ABE">
      <w:pPr>
        <w:jc w:val="center"/>
        <w:rPr>
          <w:rFonts w:ascii="Calibri" w:eastAsia="Calibri" w:hAnsi="Calibri"/>
          <w:b/>
          <w:sz w:val="28"/>
          <w:szCs w:val="28"/>
        </w:rPr>
      </w:pPr>
      <w:r w:rsidRPr="005A3ABE">
        <w:rPr>
          <w:rFonts w:ascii="Calibri" w:eastAsia="Calibri" w:hAnsi="Calibri"/>
          <w:b/>
          <w:sz w:val="28"/>
          <w:szCs w:val="28"/>
        </w:rPr>
        <w:t>A Broad Overview of Design and Construction of</w:t>
      </w:r>
    </w:p>
    <w:p w:rsidR="005A3ABE" w:rsidRPr="005A3ABE" w:rsidRDefault="005A3ABE" w:rsidP="005A3ABE">
      <w:pPr>
        <w:jc w:val="center"/>
        <w:rPr>
          <w:rFonts w:ascii="Calibri" w:eastAsia="Calibri" w:hAnsi="Calibri"/>
          <w:b/>
          <w:sz w:val="28"/>
          <w:szCs w:val="28"/>
        </w:rPr>
      </w:pPr>
      <w:r w:rsidRPr="005A3ABE">
        <w:rPr>
          <w:rFonts w:ascii="Calibri" w:eastAsia="Calibri" w:hAnsi="Calibri"/>
          <w:b/>
          <w:sz w:val="28"/>
          <w:szCs w:val="28"/>
        </w:rPr>
        <w:t>Roller Compacted Concrete (RCC) Pavements</w:t>
      </w:r>
    </w:p>
    <w:p w:rsidR="005A3ABE" w:rsidRPr="005A3ABE" w:rsidRDefault="005A3ABE" w:rsidP="005A3ABE">
      <w:pPr>
        <w:jc w:val="both"/>
        <w:rPr>
          <w:rFonts w:ascii="Calibri" w:eastAsia="Calibri" w:hAnsi="Calibri"/>
          <w:b/>
          <w:sz w:val="28"/>
          <w:szCs w:val="28"/>
        </w:rPr>
      </w:pPr>
    </w:p>
    <w:p w:rsidR="005A3ABE" w:rsidRPr="005A3ABE" w:rsidRDefault="005A3ABE" w:rsidP="005A3ABE">
      <w:pPr>
        <w:jc w:val="both"/>
        <w:rPr>
          <w:rFonts w:ascii="Calibri" w:eastAsia="Calibri" w:hAnsi="Calibri"/>
          <w:b/>
          <w:sz w:val="28"/>
          <w:szCs w:val="28"/>
        </w:rPr>
      </w:pPr>
      <w:r w:rsidRPr="005A3ABE">
        <w:rPr>
          <w:rFonts w:ascii="Calibri" w:eastAsia="Calibri" w:hAnsi="Calibri"/>
          <w:b/>
          <w:sz w:val="28"/>
          <w:szCs w:val="28"/>
        </w:rPr>
        <w:t>Introduction</w:t>
      </w:r>
      <w:bookmarkStart w:id="0" w:name="_GoBack"/>
      <w:bookmarkEnd w:id="0"/>
    </w:p>
    <w:p w:rsidR="005A3ABE" w:rsidRPr="005A3ABE" w:rsidRDefault="005A3ABE" w:rsidP="005A3ABE">
      <w:pPr>
        <w:jc w:val="both"/>
        <w:rPr>
          <w:rFonts w:ascii="Calibri" w:eastAsia="Calibri" w:hAnsi="Calibri"/>
          <w:b/>
          <w:sz w:val="28"/>
          <w:szCs w:val="28"/>
        </w:rPr>
      </w:pPr>
    </w:p>
    <w:p w:rsidR="005A3ABE" w:rsidRPr="005A3ABE" w:rsidRDefault="005A3ABE" w:rsidP="005A3ABE">
      <w:pPr>
        <w:jc w:val="both"/>
        <w:rPr>
          <w:rFonts w:ascii="Calibri" w:eastAsia="Calibri" w:hAnsi="Calibri"/>
        </w:rPr>
      </w:pPr>
      <w:r w:rsidRPr="005A3ABE">
        <w:rPr>
          <w:rFonts w:ascii="Calibri" w:eastAsia="Calibri" w:hAnsi="Calibri"/>
        </w:rPr>
        <w:t xml:space="preserve">RCC is used in three principal areas and despite the same name being used, their differences are substantial. The </w:t>
      </w:r>
      <w:r w:rsidRPr="005A3ABE">
        <w:rPr>
          <w:rFonts w:ascii="Calibri" w:eastAsia="Calibri" w:hAnsi="Calibri"/>
          <w:b/>
        </w:rPr>
        <w:t>first area</w:t>
      </w:r>
      <w:r w:rsidRPr="005A3ABE">
        <w:rPr>
          <w:rFonts w:ascii="Calibri" w:eastAsia="Calibri" w:hAnsi="Calibri"/>
        </w:rPr>
        <w:t xml:space="preserve"> is in dams/water retaining structures as an alternative material to clay in earth dams. Here it is characterised as having </w:t>
      </w:r>
      <w:proofErr w:type="gramStart"/>
      <w:r w:rsidRPr="005A3ABE">
        <w:rPr>
          <w:rFonts w:ascii="Calibri" w:eastAsia="Calibri" w:hAnsi="Calibri"/>
        </w:rPr>
        <w:t>a low</w:t>
      </w:r>
      <w:proofErr w:type="gramEnd"/>
      <w:r w:rsidRPr="005A3ABE">
        <w:rPr>
          <w:rFonts w:ascii="Calibri" w:eastAsia="Calibri" w:hAnsi="Calibri"/>
        </w:rPr>
        <w:t xml:space="preserve"> binder content, a compressive strength, usually of less than 10 MPa and permitting a range of aggregate sizes and </w:t>
      </w:r>
      <w:proofErr w:type="spellStart"/>
      <w:r w:rsidRPr="005A3ABE">
        <w:rPr>
          <w:rFonts w:ascii="Calibri" w:eastAsia="Calibri" w:hAnsi="Calibri"/>
        </w:rPr>
        <w:t>gradings</w:t>
      </w:r>
      <w:proofErr w:type="spellEnd"/>
      <w:r w:rsidRPr="005A3ABE">
        <w:rPr>
          <w:rFonts w:ascii="Calibri" w:eastAsia="Calibri" w:hAnsi="Calibri"/>
        </w:rPr>
        <w:t>.</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rPr>
      </w:pPr>
      <w:r w:rsidRPr="005A3ABE">
        <w:rPr>
          <w:rFonts w:ascii="Calibri" w:eastAsia="Calibri" w:hAnsi="Calibri"/>
        </w:rPr>
        <w:t xml:space="preserve">The </w:t>
      </w:r>
      <w:r w:rsidRPr="005A3ABE">
        <w:rPr>
          <w:rFonts w:ascii="Calibri" w:eastAsia="Calibri" w:hAnsi="Calibri"/>
          <w:b/>
        </w:rPr>
        <w:t>second area</w:t>
      </w:r>
      <w:r w:rsidRPr="005A3ABE">
        <w:rPr>
          <w:rFonts w:ascii="Calibri" w:eastAsia="Calibri" w:hAnsi="Calibri"/>
        </w:rPr>
        <w:t xml:space="preserve"> is as a structural pavement layer. There the</w:t>
      </w:r>
      <w:r w:rsidR="00132EFB">
        <w:rPr>
          <w:rFonts w:ascii="Calibri" w:eastAsia="Calibri" w:hAnsi="Calibri"/>
        </w:rPr>
        <w:t xml:space="preserve"> RCC has </w:t>
      </w:r>
      <w:proofErr w:type="gramStart"/>
      <w:r w:rsidR="00132EFB">
        <w:rPr>
          <w:rFonts w:ascii="Calibri" w:eastAsia="Calibri" w:hAnsi="Calibri"/>
        </w:rPr>
        <w:t>a high</w:t>
      </w:r>
      <w:proofErr w:type="gramEnd"/>
      <w:r w:rsidR="00132EFB">
        <w:rPr>
          <w:rFonts w:ascii="Calibri" w:eastAsia="Calibri" w:hAnsi="Calibri"/>
        </w:rPr>
        <w:t xml:space="preserve"> binder content and the </w:t>
      </w:r>
      <w:r w:rsidRPr="005A3ABE">
        <w:rPr>
          <w:rFonts w:ascii="Calibri" w:eastAsia="Calibri" w:hAnsi="Calibri"/>
        </w:rPr>
        <w:t>compressive stren</w:t>
      </w:r>
      <w:r w:rsidR="00132EFB">
        <w:rPr>
          <w:rFonts w:ascii="Calibri" w:eastAsia="Calibri" w:hAnsi="Calibri"/>
        </w:rPr>
        <w:t>gth usually greater than 30 MPa. A</w:t>
      </w:r>
      <w:r w:rsidRPr="005A3ABE">
        <w:rPr>
          <w:rFonts w:ascii="Calibri" w:eastAsia="Calibri" w:hAnsi="Calibri"/>
        </w:rPr>
        <w:t xml:space="preserve"> detailed mix design </w:t>
      </w:r>
      <w:r w:rsidR="00132EFB">
        <w:rPr>
          <w:rFonts w:ascii="Calibri" w:eastAsia="Calibri" w:hAnsi="Calibri"/>
        </w:rPr>
        <w:t>is required and the</w:t>
      </w:r>
      <w:r w:rsidRPr="005A3ABE">
        <w:rPr>
          <w:rFonts w:ascii="Calibri" w:eastAsia="Calibri" w:hAnsi="Calibri"/>
        </w:rPr>
        <w:t xml:space="preserve"> aggregate size and </w:t>
      </w:r>
      <w:proofErr w:type="spellStart"/>
      <w:r w:rsidRPr="005A3ABE">
        <w:rPr>
          <w:rFonts w:ascii="Calibri" w:eastAsia="Calibri" w:hAnsi="Calibri"/>
        </w:rPr>
        <w:t>gradings</w:t>
      </w:r>
      <w:proofErr w:type="spellEnd"/>
      <w:r w:rsidRPr="005A3ABE">
        <w:rPr>
          <w:rFonts w:ascii="Calibri" w:eastAsia="Calibri" w:hAnsi="Calibri"/>
        </w:rPr>
        <w:t xml:space="preserve"> </w:t>
      </w:r>
      <w:r w:rsidR="00132EFB">
        <w:rPr>
          <w:rFonts w:ascii="Calibri" w:eastAsia="Calibri" w:hAnsi="Calibri"/>
        </w:rPr>
        <w:t xml:space="preserve">must </w:t>
      </w:r>
      <w:r w:rsidRPr="005A3ABE">
        <w:rPr>
          <w:rFonts w:ascii="Calibri" w:eastAsia="Calibri" w:hAnsi="Calibri"/>
        </w:rPr>
        <w:t>fall within fairly confined limits. Here RCC provides the principal structural layer.</w:t>
      </w:r>
      <w:r w:rsidR="00132EFB">
        <w:rPr>
          <w:rFonts w:ascii="Calibri" w:eastAsia="Calibri" w:hAnsi="Calibri"/>
        </w:rPr>
        <w:t xml:space="preserve"> Care should be taken as in international terminology RCC usually refers to base quality material which has a cement content of 12 – 14%. For subbase applications, as for concrete pavement subbases</w:t>
      </w:r>
      <w:r w:rsidR="00261ACA">
        <w:rPr>
          <w:rFonts w:ascii="Calibri" w:eastAsia="Calibri" w:hAnsi="Calibri"/>
        </w:rPr>
        <w:t>,</w:t>
      </w:r>
      <w:r w:rsidR="00132EFB">
        <w:rPr>
          <w:rFonts w:ascii="Calibri" w:eastAsia="Calibri" w:hAnsi="Calibri"/>
        </w:rPr>
        <w:t xml:space="preserve"> the cement content is around 5% to produce 5 MPa lean </w:t>
      </w:r>
      <w:proofErr w:type="gramStart"/>
      <w:r w:rsidR="00132EFB">
        <w:rPr>
          <w:rFonts w:ascii="Calibri" w:eastAsia="Calibri" w:hAnsi="Calibri"/>
        </w:rPr>
        <w:t>mix</w:t>
      </w:r>
      <w:proofErr w:type="gramEnd"/>
      <w:r w:rsidR="00132EFB">
        <w:rPr>
          <w:rFonts w:ascii="Calibri" w:eastAsia="Calibri" w:hAnsi="Calibri"/>
        </w:rPr>
        <w:t xml:space="preserve"> rolled concrete</w:t>
      </w:r>
      <w:r w:rsidR="00261ACA">
        <w:rPr>
          <w:rFonts w:ascii="Calibri" w:eastAsia="Calibri" w:hAnsi="Calibri"/>
        </w:rPr>
        <w:t>.</w:t>
      </w:r>
      <w:r w:rsidR="00132EFB">
        <w:rPr>
          <w:rFonts w:ascii="Calibri" w:eastAsia="Calibri" w:hAnsi="Calibri"/>
        </w:rPr>
        <w:t xml:space="preserve"> </w:t>
      </w:r>
      <w:r w:rsidR="00261ACA">
        <w:rPr>
          <w:rFonts w:ascii="Calibri" w:eastAsia="Calibri" w:hAnsi="Calibri"/>
        </w:rPr>
        <w:t xml:space="preserve">A better abbreviation may be Rolled Lean Concrete </w:t>
      </w:r>
      <w:r w:rsidR="00132EFB">
        <w:rPr>
          <w:rFonts w:ascii="Calibri" w:eastAsia="Calibri" w:hAnsi="Calibri"/>
        </w:rPr>
        <w:t>(RLC).</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rPr>
      </w:pPr>
      <w:r w:rsidRPr="005A3ABE">
        <w:rPr>
          <w:rFonts w:ascii="Calibri" w:eastAsia="Calibri" w:hAnsi="Calibri"/>
        </w:rPr>
        <w:t xml:space="preserve">The </w:t>
      </w:r>
      <w:r w:rsidRPr="005A3ABE">
        <w:rPr>
          <w:rFonts w:ascii="Calibri" w:eastAsia="Calibri" w:hAnsi="Calibri"/>
          <w:b/>
        </w:rPr>
        <w:t>third area</w:t>
      </w:r>
      <w:r w:rsidRPr="005A3ABE">
        <w:rPr>
          <w:rFonts w:ascii="Calibri" w:eastAsia="Calibri" w:hAnsi="Calibri"/>
        </w:rPr>
        <w:t xml:space="preserve"> of use is as the subbase for concrete pavements. Actually, to be strictly correct, this usage is called cement stabilization. Here the mix is designed to provide a maximum strength of 5 MPa in 5 days and no more than 15 MPa in 28 days. As a rule of thumb, cement content of 5% generally results in a suitable 5 MPa mix. As a subbase to a concrete or RCC base, it has no structural function and is used to:</w:t>
      </w:r>
    </w:p>
    <w:p w:rsidR="005A3ABE" w:rsidRPr="005A3ABE" w:rsidRDefault="005A3ABE" w:rsidP="005A3ABE">
      <w:pPr>
        <w:numPr>
          <w:ilvl w:val="0"/>
          <w:numId w:val="10"/>
        </w:numPr>
        <w:contextualSpacing/>
        <w:jc w:val="both"/>
        <w:rPr>
          <w:rFonts w:ascii="Calibri" w:eastAsia="Calibri" w:hAnsi="Calibri"/>
        </w:rPr>
      </w:pPr>
      <w:r w:rsidRPr="005A3ABE">
        <w:rPr>
          <w:rFonts w:ascii="Calibri" w:eastAsia="Calibri" w:hAnsi="Calibri"/>
        </w:rPr>
        <w:t>Resist erosion of the subbase and limit “pumping” at joints and slab edges;</w:t>
      </w:r>
    </w:p>
    <w:p w:rsidR="005A3ABE" w:rsidRPr="005A3ABE" w:rsidRDefault="005A3ABE" w:rsidP="005A3ABE">
      <w:pPr>
        <w:numPr>
          <w:ilvl w:val="0"/>
          <w:numId w:val="10"/>
        </w:numPr>
        <w:contextualSpacing/>
        <w:jc w:val="both"/>
        <w:rPr>
          <w:rFonts w:ascii="Calibri" w:eastAsia="Calibri" w:hAnsi="Calibri"/>
        </w:rPr>
      </w:pPr>
      <w:r w:rsidRPr="005A3ABE">
        <w:rPr>
          <w:rFonts w:ascii="Calibri" w:eastAsia="Calibri" w:hAnsi="Calibri"/>
        </w:rPr>
        <w:t>Provide uniform support under the structural concrete base;</w:t>
      </w:r>
    </w:p>
    <w:p w:rsidR="005A3ABE" w:rsidRPr="005A3ABE" w:rsidRDefault="005A3ABE" w:rsidP="005A3ABE">
      <w:pPr>
        <w:numPr>
          <w:ilvl w:val="0"/>
          <w:numId w:val="10"/>
        </w:numPr>
        <w:contextualSpacing/>
        <w:jc w:val="both"/>
        <w:rPr>
          <w:rFonts w:ascii="Calibri" w:eastAsia="Calibri" w:hAnsi="Calibri"/>
        </w:rPr>
      </w:pPr>
      <w:r w:rsidRPr="005A3ABE">
        <w:rPr>
          <w:rFonts w:ascii="Calibri" w:eastAsia="Calibri" w:hAnsi="Calibri"/>
        </w:rPr>
        <w:t xml:space="preserve">Reduce deflection at joints and enhance load transfer across joints (especially if no other load transfer devices are provided, such as </w:t>
      </w:r>
      <w:proofErr w:type="spellStart"/>
      <w:r w:rsidRPr="005A3ABE">
        <w:rPr>
          <w:rFonts w:ascii="Calibri" w:eastAsia="Calibri" w:hAnsi="Calibri"/>
        </w:rPr>
        <w:t>tiebars</w:t>
      </w:r>
      <w:proofErr w:type="spellEnd"/>
      <w:r w:rsidRPr="005A3ABE">
        <w:rPr>
          <w:rFonts w:ascii="Calibri" w:eastAsia="Calibri" w:hAnsi="Calibri"/>
        </w:rPr>
        <w:t xml:space="preserve"> or dowels);</w:t>
      </w:r>
    </w:p>
    <w:p w:rsidR="005A3ABE" w:rsidRPr="005A3ABE" w:rsidRDefault="005A3ABE" w:rsidP="005A3ABE">
      <w:pPr>
        <w:numPr>
          <w:ilvl w:val="0"/>
          <w:numId w:val="10"/>
        </w:numPr>
        <w:contextualSpacing/>
        <w:jc w:val="both"/>
        <w:rPr>
          <w:rFonts w:ascii="Calibri" w:eastAsia="Calibri" w:hAnsi="Calibri"/>
        </w:rPr>
      </w:pPr>
      <w:r w:rsidRPr="005A3ABE">
        <w:rPr>
          <w:rFonts w:ascii="Calibri" w:eastAsia="Calibri" w:hAnsi="Calibri"/>
        </w:rPr>
        <w:t>Assist in the control of shrinkage and swelling of high volume change subgrade soils.</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rPr>
      </w:pPr>
      <w:r w:rsidRPr="005A3ABE">
        <w:rPr>
          <w:rFonts w:ascii="Calibri" w:eastAsia="Calibri" w:hAnsi="Calibri"/>
        </w:rPr>
        <w:t>This PIN gives an overview of the design requirements for the structural design of a RCC pavement layer as well as notes of the requirements for the RCC (and Lean Mix Concrete – LMC) subbases in for concrete pavement design.</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b/>
          <w:sz w:val="24"/>
          <w:szCs w:val="24"/>
        </w:rPr>
      </w:pPr>
      <w:r w:rsidRPr="005A3ABE">
        <w:rPr>
          <w:rFonts w:ascii="Calibri" w:eastAsia="Calibri" w:hAnsi="Calibri"/>
          <w:b/>
          <w:sz w:val="24"/>
          <w:szCs w:val="24"/>
        </w:rPr>
        <w:t>RCC Pavement Design</w:t>
      </w:r>
    </w:p>
    <w:p w:rsidR="005A3ABE" w:rsidRPr="005A3ABE" w:rsidRDefault="005A3ABE" w:rsidP="005A3ABE">
      <w:pPr>
        <w:jc w:val="both"/>
        <w:rPr>
          <w:rFonts w:ascii="Calibri" w:eastAsia="Calibri" w:hAnsi="Calibri"/>
          <w:b/>
          <w:sz w:val="24"/>
          <w:szCs w:val="24"/>
        </w:rPr>
      </w:pPr>
    </w:p>
    <w:p w:rsidR="005A3ABE" w:rsidRPr="005A3ABE" w:rsidRDefault="005A3ABE" w:rsidP="005A3ABE">
      <w:pPr>
        <w:jc w:val="both"/>
        <w:rPr>
          <w:rFonts w:ascii="Calibri" w:eastAsia="Calibri" w:hAnsi="Calibri"/>
        </w:rPr>
      </w:pPr>
      <w:r w:rsidRPr="005A3ABE">
        <w:rPr>
          <w:rFonts w:ascii="Calibri" w:eastAsia="Calibri" w:hAnsi="Calibri"/>
        </w:rPr>
        <w:t xml:space="preserve">The RCC pavement design follows similar procedure to that of jointed unreinforced concrete pavements with no dowels or </w:t>
      </w:r>
      <w:proofErr w:type="spellStart"/>
      <w:r w:rsidRPr="005A3ABE">
        <w:rPr>
          <w:rFonts w:ascii="Calibri" w:eastAsia="Calibri" w:hAnsi="Calibri"/>
        </w:rPr>
        <w:t>tiebars</w:t>
      </w:r>
      <w:proofErr w:type="spellEnd"/>
      <w:r w:rsidRPr="005A3ABE">
        <w:rPr>
          <w:rFonts w:ascii="Calibri" w:eastAsia="Calibri" w:hAnsi="Calibri"/>
        </w:rPr>
        <w:t xml:space="preserve"> in the contraction and construction joints. The main difference between RCC and conventional concrete pavements relates to the pavement construction, the spacing of joints and the appearance of the surface.</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b/>
          <w:sz w:val="24"/>
          <w:szCs w:val="24"/>
        </w:rPr>
      </w:pPr>
      <w:r w:rsidRPr="005A3ABE">
        <w:rPr>
          <w:rFonts w:ascii="Calibri" w:eastAsia="Calibri" w:hAnsi="Calibri"/>
          <w:b/>
          <w:sz w:val="24"/>
          <w:szCs w:val="24"/>
        </w:rPr>
        <w:t>Strength Requirements</w:t>
      </w:r>
    </w:p>
    <w:p w:rsidR="005A3ABE" w:rsidRPr="005A3ABE" w:rsidRDefault="005A3ABE" w:rsidP="005A3ABE">
      <w:pPr>
        <w:jc w:val="both"/>
        <w:rPr>
          <w:rFonts w:ascii="Calibri" w:eastAsia="Calibri" w:hAnsi="Calibri"/>
          <w:b/>
          <w:sz w:val="24"/>
          <w:szCs w:val="24"/>
        </w:rPr>
      </w:pPr>
    </w:p>
    <w:p w:rsidR="005A3ABE" w:rsidRPr="005A3ABE" w:rsidRDefault="005A3ABE" w:rsidP="005A3ABE">
      <w:pPr>
        <w:jc w:val="both"/>
        <w:rPr>
          <w:rFonts w:ascii="Calibri" w:eastAsia="Calibri" w:hAnsi="Calibri"/>
        </w:rPr>
      </w:pPr>
      <w:r w:rsidRPr="005A3ABE">
        <w:rPr>
          <w:rFonts w:ascii="Calibri" w:eastAsia="Calibri" w:hAnsi="Calibri"/>
        </w:rPr>
        <w:t xml:space="preserve">As the principal load carrying element in the pavement structure, the RCC should have </w:t>
      </w:r>
      <w:proofErr w:type="gramStart"/>
      <w:r w:rsidRPr="005A3ABE">
        <w:rPr>
          <w:rFonts w:ascii="Calibri" w:eastAsia="Calibri" w:hAnsi="Calibri"/>
        </w:rPr>
        <w:t>a strength</w:t>
      </w:r>
      <w:proofErr w:type="gramEnd"/>
      <w:r w:rsidRPr="005A3ABE">
        <w:rPr>
          <w:rFonts w:ascii="Calibri" w:eastAsia="Calibri" w:hAnsi="Calibri"/>
        </w:rPr>
        <w:t xml:space="preserve"> similar to that of the conventional concrete pavement. </w:t>
      </w:r>
      <w:proofErr w:type="gramStart"/>
      <w:r w:rsidRPr="005A3ABE">
        <w:rPr>
          <w:rFonts w:ascii="Calibri" w:eastAsia="Calibri" w:hAnsi="Calibri"/>
        </w:rPr>
        <w:t>In general 32 MPa 28 day compressive strength.</w:t>
      </w:r>
      <w:proofErr w:type="gramEnd"/>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rPr>
      </w:pPr>
      <w:r w:rsidRPr="005A3ABE">
        <w:rPr>
          <w:rFonts w:ascii="Calibri" w:eastAsia="Calibri" w:hAnsi="Calibri"/>
        </w:rPr>
        <w:t xml:space="preserve">In trafficked pavements the material failure criteria </w:t>
      </w:r>
      <w:proofErr w:type="gramStart"/>
      <w:r w:rsidRPr="005A3ABE">
        <w:rPr>
          <w:rFonts w:ascii="Calibri" w:eastAsia="Calibri" w:hAnsi="Calibri"/>
        </w:rPr>
        <w:t>is</w:t>
      </w:r>
      <w:proofErr w:type="gramEnd"/>
      <w:r w:rsidRPr="005A3ABE">
        <w:rPr>
          <w:rFonts w:ascii="Calibri" w:eastAsia="Calibri" w:hAnsi="Calibri"/>
        </w:rPr>
        <w:t xml:space="preserve"> the flexural stress capacity of the concrete being exceeded and not the compressive strength capacity. The design criterion is the flexural strength, but for reasons of convenience and time, compressive strength is used for construction control. A suitable conversion is </w:t>
      </w:r>
      <w:proofErr w:type="spellStart"/>
      <w:r w:rsidRPr="005A3ABE">
        <w:rPr>
          <w:rFonts w:ascii="Calibri" w:eastAsia="Calibri" w:hAnsi="Calibri"/>
        </w:rPr>
        <w:t>f</w:t>
      </w:r>
      <w:r w:rsidRPr="005A3ABE">
        <w:rPr>
          <w:rFonts w:ascii="Calibri" w:eastAsia="Calibri" w:hAnsi="Calibri"/>
          <w:vertAlign w:val="subscript"/>
        </w:rPr>
        <w:t>f</w:t>
      </w:r>
      <w:proofErr w:type="spellEnd"/>
      <w:r w:rsidRPr="005A3ABE">
        <w:rPr>
          <w:rFonts w:ascii="Calibri" w:eastAsia="Calibri" w:hAnsi="Calibri"/>
          <w:vertAlign w:val="subscript"/>
        </w:rPr>
        <w:t xml:space="preserve"> </w:t>
      </w:r>
      <w:r w:rsidRPr="005A3ABE">
        <w:rPr>
          <w:rFonts w:ascii="Calibri" w:eastAsia="Calibri" w:hAnsi="Calibri"/>
        </w:rPr>
        <w:t>= 0.8[f</w:t>
      </w:r>
      <w:r w:rsidRPr="005A3ABE">
        <w:rPr>
          <w:rFonts w:ascii="Calibri" w:eastAsia="Calibri" w:hAnsi="Calibri"/>
          <w:vertAlign w:val="subscript"/>
        </w:rPr>
        <w:t>c</w:t>
      </w:r>
      <w:proofErr w:type="gramStart"/>
      <w:r w:rsidRPr="005A3ABE">
        <w:rPr>
          <w:rFonts w:ascii="Calibri" w:eastAsia="Calibri" w:hAnsi="Calibri"/>
        </w:rPr>
        <w:t>]</w:t>
      </w:r>
      <w:r w:rsidRPr="005A3ABE">
        <w:rPr>
          <w:rFonts w:ascii="Calibri" w:eastAsia="Calibri" w:hAnsi="Calibri"/>
          <w:vertAlign w:val="superscript"/>
        </w:rPr>
        <w:t>0.5</w:t>
      </w:r>
      <w:proofErr w:type="gramEnd"/>
      <w:r w:rsidRPr="005A3ABE">
        <w:rPr>
          <w:rFonts w:ascii="Calibri" w:eastAsia="Calibri" w:hAnsi="Calibri"/>
        </w:rPr>
        <w:t>.</w:t>
      </w:r>
    </w:p>
    <w:p w:rsidR="005A3ABE" w:rsidRPr="005A3ABE" w:rsidRDefault="005A3ABE" w:rsidP="005A3ABE">
      <w:pPr>
        <w:jc w:val="both"/>
        <w:rPr>
          <w:rFonts w:ascii="Calibri" w:eastAsia="Calibri" w:hAnsi="Calibri"/>
          <w:sz w:val="24"/>
          <w:szCs w:val="24"/>
        </w:rPr>
      </w:pPr>
    </w:p>
    <w:p w:rsidR="005A3ABE" w:rsidRPr="005A3ABE" w:rsidRDefault="005A3ABE" w:rsidP="005A3ABE">
      <w:pPr>
        <w:jc w:val="both"/>
        <w:rPr>
          <w:rFonts w:ascii="Calibri" w:eastAsia="Calibri" w:hAnsi="Calibri"/>
          <w:b/>
          <w:sz w:val="24"/>
          <w:szCs w:val="24"/>
        </w:rPr>
      </w:pPr>
      <w:r w:rsidRPr="005A3ABE">
        <w:rPr>
          <w:rFonts w:ascii="Calibri" w:eastAsia="Calibri" w:hAnsi="Calibri"/>
          <w:b/>
          <w:sz w:val="24"/>
          <w:szCs w:val="24"/>
        </w:rPr>
        <w:t>Mix Design (General)</w:t>
      </w:r>
    </w:p>
    <w:p w:rsidR="005A3ABE" w:rsidRPr="005A3ABE" w:rsidRDefault="005A3ABE" w:rsidP="005A3ABE">
      <w:pPr>
        <w:jc w:val="both"/>
        <w:rPr>
          <w:rFonts w:ascii="Calibri" w:eastAsia="Calibri" w:hAnsi="Calibri"/>
          <w:b/>
          <w:sz w:val="24"/>
          <w:szCs w:val="24"/>
        </w:rPr>
      </w:pPr>
    </w:p>
    <w:p w:rsidR="005A3ABE" w:rsidRPr="005A3ABE" w:rsidRDefault="005A3ABE" w:rsidP="005A3ABE">
      <w:pPr>
        <w:jc w:val="both"/>
        <w:rPr>
          <w:rFonts w:ascii="Calibri" w:eastAsia="Calibri" w:hAnsi="Calibri"/>
        </w:rPr>
      </w:pPr>
      <w:r w:rsidRPr="005A3ABE">
        <w:rPr>
          <w:rFonts w:ascii="Calibri" w:eastAsia="Calibri" w:hAnsi="Calibri"/>
        </w:rPr>
        <w:t>For structural RCC, it must satisfy the following:</w:t>
      </w:r>
    </w:p>
    <w:p w:rsidR="005A3ABE" w:rsidRPr="005A3ABE" w:rsidRDefault="005A3ABE" w:rsidP="005A3ABE">
      <w:pPr>
        <w:numPr>
          <w:ilvl w:val="0"/>
          <w:numId w:val="11"/>
        </w:numPr>
        <w:contextualSpacing/>
        <w:jc w:val="both"/>
        <w:rPr>
          <w:rFonts w:ascii="Calibri" w:eastAsia="Calibri" w:hAnsi="Calibri"/>
        </w:rPr>
      </w:pPr>
      <w:r w:rsidRPr="005A3ABE">
        <w:rPr>
          <w:rFonts w:ascii="Calibri" w:eastAsia="Calibri" w:hAnsi="Calibri"/>
        </w:rPr>
        <w:t>It must achieve the specified strength;</w:t>
      </w:r>
    </w:p>
    <w:p w:rsidR="005A3ABE" w:rsidRPr="005A3ABE" w:rsidRDefault="005A3ABE" w:rsidP="005A3ABE">
      <w:pPr>
        <w:numPr>
          <w:ilvl w:val="0"/>
          <w:numId w:val="11"/>
        </w:numPr>
        <w:contextualSpacing/>
        <w:jc w:val="both"/>
        <w:rPr>
          <w:rFonts w:ascii="Calibri" w:eastAsia="Calibri" w:hAnsi="Calibri"/>
        </w:rPr>
      </w:pPr>
      <w:r w:rsidRPr="005A3ABE">
        <w:rPr>
          <w:rFonts w:ascii="Calibri" w:eastAsia="Calibri" w:hAnsi="Calibri"/>
        </w:rPr>
        <w:t>It must contain sufficient water to allow the ingredients to mix properly and to hydrate the cement;</w:t>
      </w:r>
    </w:p>
    <w:p w:rsidR="005A3ABE" w:rsidRPr="005A3ABE" w:rsidRDefault="005A3ABE" w:rsidP="005A3ABE">
      <w:pPr>
        <w:numPr>
          <w:ilvl w:val="0"/>
          <w:numId w:val="11"/>
        </w:numPr>
        <w:contextualSpacing/>
        <w:jc w:val="both"/>
        <w:rPr>
          <w:rFonts w:ascii="Calibri" w:eastAsia="Calibri" w:hAnsi="Calibri"/>
        </w:rPr>
      </w:pPr>
      <w:r w:rsidRPr="005A3ABE">
        <w:rPr>
          <w:rFonts w:ascii="Calibri" w:eastAsia="Calibri" w:hAnsi="Calibri"/>
        </w:rPr>
        <w:t>It must have a sufficiently stiff consistency such that after placing the material will not collapse or shear under the action of high-output vibrating rollers;</w:t>
      </w:r>
    </w:p>
    <w:p w:rsidR="005A3ABE" w:rsidRPr="005A3ABE" w:rsidRDefault="005A3ABE" w:rsidP="005A3ABE">
      <w:pPr>
        <w:numPr>
          <w:ilvl w:val="0"/>
          <w:numId w:val="11"/>
        </w:numPr>
        <w:contextualSpacing/>
        <w:jc w:val="both"/>
        <w:rPr>
          <w:rFonts w:ascii="Calibri" w:eastAsia="Calibri" w:hAnsi="Calibri"/>
        </w:rPr>
      </w:pPr>
      <w:r w:rsidRPr="005A3ABE">
        <w:rPr>
          <w:rFonts w:ascii="Calibri" w:eastAsia="Calibri" w:hAnsi="Calibri"/>
        </w:rPr>
        <w:t>It must be capable of being paved and compacted without segregation of the mix components;</w:t>
      </w:r>
    </w:p>
    <w:p w:rsidR="005A3ABE" w:rsidRPr="005A3ABE" w:rsidRDefault="005A3ABE" w:rsidP="005A3ABE">
      <w:pPr>
        <w:numPr>
          <w:ilvl w:val="0"/>
          <w:numId w:val="11"/>
        </w:numPr>
        <w:contextualSpacing/>
        <w:jc w:val="both"/>
        <w:rPr>
          <w:rFonts w:ascii="Calibri" w:eastAsia="Calibri" w:hAnsi="Calibri"/>
        </w:rPr>
      </w:pPr>
      <w:r w:rsidRPr="005A3ABE">
        <w:rPr>
          <w:rFonts w:ascii="Calibri" w:eastAsia="Calibri" w:hAnsi="Calibri"/>
        </w:rPr>
        <w:t xml:space="preserve">The mix proportions must be such that when compacted and cured the resulting pavement will have a durable, </w:t>
      </w:r>
      <w:proofErr w:type="spellStart"/>
      <w:r w:rsidRPr="005A3ABE">
        <w:rPr>
          <w:rFonts w:ascii="Calibri" w:eastAsia="Calibri" w:hAnsi="Calibri"/>
        </w:rPr>
        <w:t>ie</w:t>
      </w:r>
      <w:proofErr w:type="spellEnd"/>
      <w:r w:rsidRPr="005A3ABE">
        <w:rPr>
          <w:rFonts w:ascii="Calibri" w:eastAsia="Calibri" w:hAnsi="Calibri"/>
        </w:rPr>
        <w:t xml:space="preserve"> an abrasion resistant surface.</w:t>
      </w:r>
    </w:p>
    <w:p w:rsidR="005A3ABE" w:rsidRPr="005A3ABE" w:rsidRDefault="005A3ABE" w:rsidP="005A3ABE">
      <w:pPr>
        <w:jc w:val="both"/>
        <w:rPr>
          <w:rFonts w:ascii="Calibri" w:eastAsia="Calibri" w:hAnsi="Calibri"/>
          <w:sz w:val="24"/>
          <w:szCs w:val="24"/>
        </w:rPr>
      </w:pPr>
    </w:p>
    <w:p w:rsidR="005A3ABE" w:rsidRPr="005A3ABE" w:rsidRDefault="005A3ABE" w:rsidP="005A3ABE">
      <w:pPr>
        <w:jc w:val="both"/>
        <w:rPr>
          <w:rFonts w:ascii="Calibri" w:eastAsia="Calibri" w:hAnsi="Calibri"/>
          <w:b/>
          <w:sz w:val="24"/>
          <w:szCs w:val="24"/>
        </w:rPr>
      </w:pPr>
      <w:r w:rsidRPr="005A3ABE">
        <w:rPr>
          <w:rFonts w:ascii="Calibri" w:eastAsia="Calibri" w:hAnsi="Calibri"/>
          <w:b/>
          <w:sz w:val="24"/>
          <w:szCs w:val="24"/>
        </w:rPr>
        <w:t>Aggregate Properties</w:t>
      </w:r>
    </w:p>
    <w:p w:rsidR="005A3ABE" w:rsidRPr="005A3ABE" w:rsidRDefault="005A3ABE" w:rsidP="005A3ABE">
      <w:pPr>
        <w:jc w:val="both"/>
        <w:rPr>
          <w:rFonts w:ascii="Calibri" w:eastAsia="Calibri" w:hAnsi="Calibri"/>
          <w:b/>
          <w:sz w:val="24"/>
          <w:szCs w:val="24"/>
        </w:rPr>
      </w:pPr>
    </w:p>
    <w:p w:rsidR="005A3ABE" w:rsidRPr="005A3ABE" w:rsidRDefault="005A3ABE" w:rsidP="005A3ABE">
      <w:pPr>
        <w:jc w:val="both"/>
        <w:rPr>
          <w:rFonts w:ascii="Calibri" w:eastAsia="Calibri" w:hAnsi="Calibri"/>
        </w:rPr>
      </w:pPr>
      <w:r w:rsidRPr="005A3ABE">
        <w:rPr>
          <w:rFonts w:ascii="Calibri" w:eastAsia="Calibri" w:hAnsi="Calibri"/>
        </w:rPr>
        <w:t>The requirements of general properties and soundness for aggregates for RCC are similar to those used in conventional concrete pavement of similar strength.</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rPr>
      </w:pPr>
      <w:r w:rsidRPr="005A3ABE">
        <w:rPr>
          <w:rFonts w:ascii="Calibri" w:eastAsia="Calibri" w:hAnsi="Calibri"/>
        </w:rPr>
        <w:t>Maximum aggregate size of 20 – 26.5 mm is typical, although up to 37.5 – 40 mm may also be suitable.</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b/>
          <w:sz w:val="24"/>
          <w:szCs w:val="24"/>
        </w:rPr>
      </w:pPr>
      <w:r w:rsidRPr="005A3ABE">
        <w:rPr>
          <w:rFonts w:ascii="Calibri" w:eastAsia="Calibri" w:hAnsi="Calibri"/>
          <w:b/>
          <w:sz w:val="24"/>
          <w:szCs w:val="24"/>
        </w:rPr>
        <w:t>Cementitious Binder Content and Type</w:t>
      </w:r>
    </w:p>
    <w:p w:rsidR="005A3ABE" w:rsidRPr="005A3ABE" w:rsidRDefault="005A3ABE" w:rsidP="005A3ABE">
      <w:pPr>
        <w:jc w:val="both"/>
        <w:rPr>
          <w:rFonts w:ascii="Calibri" w:eastAsia="Calibri" w:hAnsi="Calibri"/>
          <w:b/>
          <w:sz w:val="24"/>
          <w:szCs w:val="24"/>
        </w:rPr>
      </w:pPr>
    </w:p>
    <w:p w:rsidR="005A3ABE" w:rsidRPr="005A3ABE" w:rsidRDefault="005A3ABE" w:rsidP="005A3ABE">
      <w:pPr>
        <w:jc w:val="both"/>
        <w:rPr>
          <w:rFonts w:ascii="Calibri" w:eastAsia="Calibri" w:hAnsi="Calibri"/>
        </w:rPr>
      </w:pPr>
      <w:r w:rsidRPr="005A3ABE">
        <w:rPr>
          <w:rFonts w:ascii="Calibri" w:eastAsia="Calibri" w:hAnsi="Calibri"/>
        </w:rPr>
        <w:t>For both strength development and durability, in particular abrasion resistance, the minimum binder content of 300 kg/m</w:t>
      </w:r>
      <w:r w:rsidRPr="005A3ABE">
        <w:rPr>
          <w:rFonts w:ascii="Calibri" w:eastAsia="Calibri" w:hAnsi="Calibri"/>
          <w:vertAlign w:val="superscript"/>
        </w:rPr>
        <w:t>3</w:t>
      </w:r>
      <w:r w:rsidRPr="005A3ABE">
        <w:rPr>
          <w:rFonts w:ascii="Calibri" w:eastAsia="Calibri" w:hAnsi="Calibri"/>
        </w:rPr>
        <w:t xml:space="preserve"> is recommended. Foe best “</w:t>
      </w:r>
      <w:proofErr w:type="spellStart"/>
      <w:r w:rsidRPr="005A3ABE">
        <w:rPr>
          <w:rFonts w:ascii="Calibri" w:eastAsia="Calibri" w:hAnsi="Calibri"/>
        </w:rPr>
        <w:t>paveability</w:t>
      </w:r>
      <w:proofErr w:type="spellEnd"/>
      <w:r w:rsidRPr="005A3ABE">
        <w:rPr>
          <w:rFonts w:ascii="Calibri" w:eastAsia="Calibri" w:hAnsi="Calibri"/>
        </w:rPr>
        <w:t>” cementitious contents of up to 300 – 320 kg/m</w:t>
      </w:r>
      <w:r w:rsidRPr="005A3ABE">
        <w:rPr>
          <w:rFonts w:ascii="Calibri" w:eastAsia="Calibri" w:hAnsi="Calibri"/>
          <w:vertAlign w:val="superscript"/>
        </w:rPr>
        <w:t>3</w:t>
      </w:r>
      <w:r w:rsidRPr="005A3ABE">
        <w:rPr>
          <w:rFonts w:ascii="Calibri" w:eastAsia="Calibri" w:hAnsi="Calibri"/>
        </w:rPr>
        <w:t xml:space="preserve"> are commonly used.</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rPr>
      </w:pPr>
      <w:r w:rsidRPr="005A3ABE">
        <w:rPr>
          <w:rFonts w:ascii="Calibri" w:eastAsia="Calibri" w:hAnsi="Calibri"/>
        </w:rPr>
        <w:t xml:space="preserve">Due to the low w/c ratio and the high </w:t>
      </w:r>
      <w:proofErr w:type="spellStart"/>
      <w:r w:rsidRPr="005A3ABE">
        <w:rPr>
          <w:rFonts w:ascii="Calibri" w:eastAsia="Calibri" w:hAnsi="Calibri"/>
        </w:rPr>
        <w:t>compactive</w:t>
      </w:r>
      <w:proofErr w:type="spellEnd"/>
      <w:r w:rsidRPr="005A3ABE">
        <w:rPr>
          <w:rFonts w:ascii="Calibri" w:eastAsia="Calibri" w:hAnsi="Calibri"/>
        </w:rPr>
        <w:t xml:space="preserve"> effort used, relatively small additions of cement above the minimum amount </w:t>
      </w:r>
      <w:proofErr w:type="gramStart"/>
      <w:r w:rsidRPr="005A3ABE">
        <w:rPr>
          <w:rFonts w:ascii="Calibri" w:eastAsia="Calibri" w:hAnsi="Calibri"/>
        </w:rPr>
        <w:t>recommended,</w:t>
      </w:r>
      <w:proofErr w:type="gramEnd"/>
      <w:r w:rsidRPr="005A3ABE">
        <w:rPr>
          <w:rFonts w:ascii="Calibri" w:eastAsia="Calibri" w:hAnsi="Calibri"/>
        </w:rPr>
        <w:t xml:space="preserve"> will produce quite significant strength increases. Typically a Portland cement/fly-ash blend is commonly used with the binder containing up to 25% (sometimes more) of fly-ash. The spherical shape of the fly-ash particles adds to the </w:t>
      </w:r>
      <w:proofErr w:type="spellStart"/>
      <w:r w:rsidRPr="005A3ABE">
        <w:rPr>
          <w:rFonts w:ascii="Calibri" w:eastAsia="Calibri" w:hAnsi="Calibri"/>
        </w:rPr>
        <w:t>paveability</w:t>
      </w:r>
      <w:proofErr w:type="spellEnd"/>
      <w:r w:rsidRPr="005A3ABE">
        <w:rPr>
          <w:rFonts w:ascii="Calibri" w:eastAsia="Calibri" w:hAnsi="Calibri"/>
        </w:rPr>
        <w:t xml:space="preserve"> of the mix and ease of compaction.</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b/>
          <w:sz w:val="24"/>
          <w:szCs w:val="24"/>
        </w:rPr>
      </w:pPr>
      <w:r w:rsidRPr="005A3ABE">
        <w:rPr>
          <w:rFonts w:ascii="Calibri" w:eastAsia="Calibri" w:hAnsi="Calibri"/>
          <w:b/>
          <w:sz w:val="24"/>
          <w:szCs w:val="24"/>
        </w:rPr>
        <w:t>Moisture Content</w:t>
      </w:r>
    </w:p>
    <w:p w:rsidR="005A3ABE" w:rsidRPr="005A3ABE" w:rsidRDefault="005A3ABE" w:rsidP="005A3ABE">
      <w:pPr>
        <w:jc w:val="both"/>
        <w:rPr>
          <w:rFonts w:ascii="Calibri" w:eastAsia="Calibri" w:hAnsi="Calibri"/>
          <w:b/>
          <w:sz w:val="24"/>
          <w:szCs w:val="24"/>
        </w:rPr>
      </w:pPr>
    </w:p>
    <w:p w:rsidR="005A3ABE" w:rsidRPr="005A3ABE" w:rsidRDefault="005A3ABE" w:rsidP="005A3ABE">
      <w:pPr>
        <w:jc w:val="both"/>
        <w:rPr>
          <w:rFonts w:ascii="Calibri" w:eastAsia="Calibri" w:hAnsi="Calibri"/>
        </w:rPr>
      </w:pPr>
      <w:r w:rsidRPr="005A3ABE">
        <w:rPr>
          <w:rFonts w:ascii="Calibri" w:eastAsia="Calibri" w:hAnsi="Calibri"/>
        </w:rPr>
        <w:t>The w/c ratio and water content for RCC is substantially different from that of conventional concrete. The Moisture Content is determined as the optimum required to achieve maximum density after compaction in the same way as the OMC is determined for conventional crushed rock or gravel road materials. The same “Proctor” test method used for unbound pavement materials is also used for RCC testing.</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rPr>
      </w:pPr>
      <w:r w:rsidRPr="005A3ABE">
        <w:rPr>
          <w:rFonts w:ascii="Calibri" w:eastAsia="Calibri" w:hAnsi="Calibri"/>
        </w:rPr>
        <w:t>In general, the OMC will be in the range of 5% to 7% by weight. This is well above of what is required for hydration of the cement. The above range is actually equivalent to 0.37 to 0.4 w/c ratio.</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b/>
          <w:sz w:val="24"/>
          <w:szCs w:val="24"/>
        </w:rPr>
      </w:pPr>
      <w:r w:rsidRPr="005A3ABE">
        <w:rPr>
          <w:rFonts w:ascii="Calibri" w:eastAsia="Calibri" w:hAnsi="Calibri"/>
          <w:b/>
          <w:sz w:val="24"/>
          <w:szCs w:val="24"/>
        </w:rPr>
        <w:t>Admixtures</w:t>
      </w:r>
    </w:p>
    <w:p w:rsidR="005A3ABE" w:rsidRPr="005A3ABE" w:rsidRDefault="005A3ABE" w:rsidP="005A3ABE">
      <w:pPr>
        <w:jc w:val="both"/>
        <w:rPr>
          <w:rFonts w:ascii="Calibri" w:eastAsia="Calibri" w:hAnsi="Calibri"/>
          <w:b/>
          <w:sz w:val="24"/>
          <w:szCs w:val="24"/>
        </w:rPr>
      </w:pPr>
    </w:p>
    <w:p w:rsidR="005A3ABE" w:rsidRPr="005A3ABE" w:rsidRDefault="005A3ABE" w:rsidP="005A3ABE">
      <w:pPr>
        <w:jc w:val="both"/>
        <w:rPr>
          <w:rFonts w:ascii="Calibri" w:eastAsia="Calibri" w:hAnsi="Calibri"/>
        </w:rPr>
      </w:pPr>
      <w:r w:rsidRPr="005A3ABE">
        <w:rPr>
          <w:rFonts w:ascii="Calibri" w:eastAsia="Calibri" w:hAnsi="Calibri"/>
        </w:rPr>
        <w:t>Admixtures may be used for same reasons as for conventional concrete. From experience, accurate and uniform incorporation of entrained air is a practical impossibility. Even with the absence of air-</w:t>
      </w:r>
      <w:r w:rsidRPr="005A3ABE">
        <w:rPr>
          <w:rFonts w:ascii="Calibri" w:eastAsia="Calibri" w:hAnsi="Calibri"/>
        </w:rPr>
        <w:lastRenderedPageBreak/>
        <w:t>entrainment there has been no reported deterioration due to freeze-thaw. Under Australian conditions the absence of air-entrainment is unlikely to lead to loss of performance of the pavement.</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rPr>
      </w:pPr>
      <w:r w:rsidRPr="005A3ABE">
        <w:rPr>
          <w:rFonts w:ascii="Calibri" w:eastAsia="Calibri" w:hAnsi="Calibri"/>
        </w:rPr>
        <w:t>As OMC is determined largely on the basis of achieving maximum compacted density by intensive rolling, the use of water reducing admixtures is also inappropriate to RCC.</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rPr>
      </w:pPr>
      <w:r w:rsidRPr="005A3ABE">
        <w:rPr>
          <w:rFonts w:ascii="Calibri" w:eastAsia="Calibri" w:hAnsi="Calibri"/>
        </w:rPr>
        <w:t>Set retarding agents have been successfully used to provide control and uniformity in the delay period between mixing the material and the time at which saw cutting the joints can commence.</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b/>
          <w:sz w:val="24"/>
          <w:szCs w:val="24"/>
        </w:rPr>
      </w:pPr>
      <w:r w:rsidRPr="005A3ABE">
        <w:rPr>
          <w:rFonts w:ascii="Calibri" w:eastAsia="Calibri" w:hAnsi="Calibri"/>
          <w:b/>
          <w:sz w:val="24"/>
          <w:szCs w:val="24"/>
        </w:rPr>
        <w:t>Thickness Design</w:t>
      </w:r>
    </w:p>
    <w:p w:rsidR="005A3ABE" w:rsidRPr="005A3ABE" w:rsidRDefault="005A3ABE" w:rsidP="005A3ABE">
      <w:pPr>
        <w:jc w:val="both"/>
        <w:rPr>
          <w:rFonts w:ascii="Calibri" w:eastAsia="Calibri" w:hAnsi="Calibri"/>
          <w:b/>
          <w:sz w:val="24"/>
          <w:szCs w:val="24"/>
        </w:rPr>
      </w:pPr>
    </w:p>
    <w:p w:rsidR="005A3ABE" w:rsidRPr="005A3ABE" w:rsidRDefault="005A3ABE" w:rsidP="005A3ABE">
      <w:pPr>
        <w:jc w:val="both"/>
        <w:rPr>
          <w:rFonts w:ascii="Calibri" w:eastAsia="Calibri" w:hAnsi="Calibri"/>
        </w:rPr>
      </w:pPr>
      <w:r w:rsidRPr="005A3ABE">
        <w:rPr>
          <w:rFonts w:ascii="Calibri" w:eastAsia="Calibri" w:hAnsi="Calibri"/>
        </w:rPr>
        <w:t>The general procedure for the thickness design for RCC pavements is the same as for conventional concrete pavements having the same strength. This involves the determination of the flexural stress in the pavement due to applied loads, applying the fatigue relationship based on the estimated load repetitions to the flexural strength of the RCC and ensuring that this modified value is greater than that calculated from the applied loads.</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rPr>
      </w:pPr>
      <w:r w:rsidRPr="005A3ABE">
        <w:rPr>
          <w:rFonts w:ascii="Calibri" w:eastAsia="Calibri" w:hAnsi="Calibri"/>
        </w:rPr>
        <w:t>As with conventional concrete pavements the position of the design load within the individual slab influences the required thickness. The load may be placed in the interior of the slab (</w:t>
      </w:r>
      <w:r w:rsidRPr="005A3ABE">
        <w:rPr>
          <w:rFonts w:ascii="Calibri" w:eastAsia="Calibri" w:hAnsi="Calibri"/>
          <w:b/>
        </w:rPr>
        <w:t>interior loading</w:t>
      </w:r>
      <w:r w:rsidRPr="005A3ABE">
        <w:rPr>
          <w:rFonts w:ascii="Calibri" w:eastAsia="Calibri" w:hAnsi="Calibri"/>
        </w:rPr>
        <w:t>) or at the unprotected edge or joint (</w:t>
      </w:r>
      <w:r w:rsidRPr="005A3ABE">
        <w:rPr>
          <w:rFonts w:ascii="Calibri" w:eastAsia="Calibri" w:hAnsi="Calibri"/>
          <w:b/>
        </w:rPr>
        <w:t>edge loading</w:t>
      </w:r>
      <w:r w:rsidRPr="005A3ABE">
        <w:rPr>
          <w:rFonts w:ascii="Calibri" w:eastAsia="Calibri" w:hAnsi="Calibri"/>
        </w:rPr>
        <w:t xml:space="preserve">). For RCC due to its dry consistency the inclusion of load transfer devices such as dowels, </w:t>
      </w:r>
      <w:proofErr w:type="spellStart"/>
      <w:r w:rsidRPr="005A3ABE">
        <w:rPr>
          <w:rFonts w:ascii="Calibri" w:eastAsia="Calibri" w:hAnsi="Calibri"/>
        </w:rPr>
        <w:t>tiebars</w:t>
      </w:r>
      <w:proofErr w:type="spellEnd"/>
      <w:r w:rsidRPr="005A3ABE">
        <w:rPr>
          <w:rFonts w:ascii="Calibri" w:eastAsia="Calibri" w:hAnsi="Calibri"/>
        </w:rPr>
        <w:t xml:space="preserve"> and keyways, presents practical difficulties. Therefore, load transfer at a joint in RCC pavements will have to be obtained by aggregate interlock with some assistance in support from the presence of a bound subbase, where used.</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b/>
          <w:sz w:val="24"/>
          <w:szCs w:val="24"/>
        </w:rPr>
      </w:pPr>
      <w:r w:rsidRPr="005A3ABE">
        <w:rPr>
          <w:rFonts w:ascii="Calibri" w:eastAsia="Calibri" w:hAnsi="Calibri"/>
          <w:b/>
          <w:sz w:val="24"/>
          <w:szCs w:val="24"/>
        </w:rPr>
        <w:t>General Comments regarding Structural RCC and Stabilised Subbase</w:t>
      </w:r>
    </w:p>
    <w:p w:rsidR="005A3ABE" w:rsidRPr="005A3ABE" w:rsidRDefault="005A3ABE" w:rsidP="005A3ABE">
      <w:pPr>
        <w:jc w:val="both"/>
        <w:rPr>
          <w:rFonts w:ascii="Calibri" w:eastAsia="Calibri" w:hAnsi="Calibri"/>
          <w:b/>
          <w:sz w:val="24"/>
          <w:szCs w:val="24"/>
        </w:rPr>
      </w:pP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Longitudinal and transverse joints are required.</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Induced joint spacing is calculated to limit crack widths to 0.3 mm.</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To counter edge loading stresses:</w:t>
      </w:r>
    </w:p>
    <w:p w:rsidR="005A3ABE" w:rsidRPr="005A3ABE" w:rsidRDefault="005A3ABE" w:rsidP="005A3ABE">
      <w:pPr>
        <w:numPr>
          <w:ilvl w:val="0"/>
          <w:numId w:val="13"/>
        </w:numPr>
        <w:contextualSpacing/>
        <w:jc w:val="both"/>
        <w:rPr>
          <w:rFonts w:ascii="Calibri" w:eastAsia="Calibri" w:hAnsi="Calibri"/>
        </w:rPr>
      </w:pPr>
      <w:r w:rsidRPr="005A3ABE">
        <w:rPr>
          <w:rFonts w:ascii="Calibri" w:eastAsia="Calibri" w:hAnsi="Calibri"/>
        </w:rPr>
        <w:t>Integral widening of the pavement by 600 mm has to be provided on the median side;</w:t>
      </w:r>
    </w:p>
    <w:p w:rsidR="005A3ABE" w:rsidRPr="005A3ABE" w:rsidRDefault="005A3ABE" w:rsidP="005A3ABE">
      <w:pPr>
        <w:numPr>
          <w:ilvl w:val="0"/>
          <w:numId w:val="13"/>
        </w:numPr>
        <w:contextualSpacing/>
        <w:jc w:val="both"/>
        <w:rPr>
          <w:rFonts w:ascii="Calibri" w:eastAsia="Calibri" w:hAnsi="Calibri"/>
        </w:rPr>
      </w:pPr>
      <w:r w:rsidRPr="005A3ABE">
        <w:rPr>
          <w:rFonts w:ascii="Calibri" w:eastAsia="Calibri" w:hAnsi="Calibri"/>
        </w:rPr>
        <w:t xml:space="preserve">For conventional concrete pavements fully keyed and tied “shoulder” of 1.5 m width has to be provided on the slow lane side, </w:t>
      </w:r>
      <w:proofErr w:type="spellStart"/>
      <w:r w:rsidRPr="005A3ABE">
        <w:rPr>
          <w:rFonts w:ascii="Calibri" w:eastAsia="Calibri" w:hAnsi="Calibri"/>
        </w:rPr>
        <w:t>ie</w:t>
      </w:r>
      <w:proofErr w:type="spellEnd"/>
      <w:r w:rsidRPr="005A3ABE">
        <w:rPr>
          <w:rFonts w:ascii="Calibri" w:eastAsia="Calibri" w:hAnsi="Calibri"/>
        </w:rPr>
        <w:t xml:space="preserve"> outside. This is not practical with RCC and the 1.5 m width has to be placed integral with the rest of the pavement.</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The absence of edge loading provisions would require the RCC base to be 40 - 60 mm thicker than where shoulders are provided. (Because of the difficulty of providing proper edge support, the US Corps of Engineers designs all RCC pavements for the unsupported edge condition).</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 xml:space="preserve">For fatigue performance, it is assumed that this would be similar to that of the same strength conventional concrete. </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The subgrade for the RCC is designed similarly as for concrete pavements. The principal design parameter is the California Bearing Ratio (CBR). It is usual to use soaked CBR values.</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For thickness design purposes all materials within one metre below the subbase are assessed to provide the Effective Subgrade Strength.</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To calculate the Equivalent Subgrade Strength it is normal to add 150 – 300 mm of selected material (CBR &gt;15%) on top of the subgrade depending on its quality. For the Effective Subgrade Strength for design, the actual subbase type and thickness is added from graphs containing bound material and Lean Mix Concrete (LMC). Details of the calculations are provided in PIN no 74.</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The provision and design of the subbase for RCC follows the same lines as for concrete pavements. The mix is designed to provide 5 MPa in 7 days and a maximum of 15 MPa in 28 days. A minimum practical thickness of 150 mm is usually recommended.</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The subbase is placed as “mass concrete” with no designed or induced joints. The low strength minimises unplanned cracking which is tolerated.</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 xml:space="preserve">The RCC and subbase are separated by a </w:t>
      </w:r>
      <w:proofErr w:type="spellStart"/>
      <w:r w:rsidRPr="005A3ABE">
        <w:rPr>
          <w:rFonts w:ascii="Calibri" w:eastAsia="Calibri" w:hAnsi="Calibri"/>
        </w:rPr>
        <w:t>debonding</w:t>
      </w:r>
      <w:proofErr w:type="spellEnd"/>
      <w:r w:rsidRPr="005A3ABE">
        <w:rPr>
          <w:rFonts w:ascii="Calibri" w:eastAsia="Calibri" w:hAnsi="Calibri"/>
        </w:rPr>
        <w:t xml:space="preserve"> layer to also assist limiting reflection cracking from the subbase into the RCC and to allow joints in the RCC to move without </w:t>
      </w:r>
      <w:r w:rsidRPr="005A3ABE">
        <w:rPr>
          <w:rFonts w:ascii="Calibri" w:eastAsia="Calibri" w:hAnsi="Calibri"/>
        </w:rPr>
        <w:lastRenderedPageBreak/>
        <w:t>excessive restraint by the subbase. It is usual to use two coats of wax emulsion, where the first also acts as the curing membrane.</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The essential feature which makes the RCC different from conventional concrete pavements is the equipment and method used to construct the pavement.</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 xml:space="preserve">Due to its dry nature it is generally unsuited for batch type mixing systems such as conventional wet-mix plants. (In Australia RCC has been mixed in mobile continuous mixing plants where the mixing of the material takes place in long-chamber, twin-shaft </w:t>
      </w:r>
      <w:proofErr w:type="spellStart"/>
      <w:r w:rsidRPr="005A3ABE">
        <w:rPr>
          <w:rFonts w:ascii="Calibri" w:eastAsia="Calibri" w:hAnsi="Calibri"/>
        </w:rPr>
        <w:t>pugmills</w:t>
      </w:r>
      <w:proofErr w:type="spellEnd"/>
      <w:r w:rsidRPr="005A3ABE">
        <w:rPr>
          <w:rFonts w:ascii="Calibri" w:eastAsia="Calibri" w:hAnsi="Calibri"/>
        </w:rPr>
        <w:t>.</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The haulage to the road site is by conventional tip-trucks. Agitator trucks are impractical due to the time it takes to discharge the nearly dry mix.</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Placement is by purpose built pavers or modified asphalt pavers. Where applicable, internal vibrators have to be removed.</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 xml:space="preserve">Compaction to maximum density is essential. Even a small percentage of voids in the RCC </w:t>
      </w:r>
      <w:proofErr w:type="gramStart"/>
      <w:r w:rsidRPr="005A3ABE">
        <w:rPr>
          <w:rFonts w:ascii="Calibri" w:eastAsia="Calibri" w:hAnsi="Calibri"/>
        </w:rPr>
        <w:t>leads</w:t>
      </w:r>
      <w:proofErr w:type="gramEnd"/>
      <w:r w:rsidRPr="005A3ABE">
        <w:rPr>
          <w:rFonts w:ascii="Calibri" w:eastAsia="Calibri" w:hAnsi="Calibri"/>
        </w:rPr>
        <w:t xml:space="preserve"> to a significant loss of compressive and flexural strength. For example, 5% voids results in 33% loss of reduction in compressive strength and 25% in flexural strength. 10% voids results in 55% loss in compressive strength and 45% in flexural.</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 xml:space="preserve">In broad terms, the drying shrinkage of RCC is about half that of conventional concrete used in </w:t>
      </w:r>
      <w:proofErr w:type="spellStart"/>
      <w:r w:rsidRPr="005A3ABE">
        <w:rPr>
          <w:rFonts w:ascii="Calibri" w:eastAsia="Calibri" w:hAnsi="Calibri"/>
        </w:rPr>
        <w:t>slipform</w:t>
      </w:r>
      <w:proofErr w:type="spellEnd"/>
      <w:r w:rsidRPr="005A3ABE">
        <w:rPr>
          <w:rFonts w:ascii="Calibri" w:eastAsia="Calibri" w:hAnsi="Calibri"/>
        </w:rPr>
        <w:t xml:space="preserve"> or even fixed form pavement construction. Shrinkage of the 5 MPa cement stabilised layer would be even less.</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 xml:space="preserve">Researchers have also shown that for a pavement thickness of 250 mm the joint spacing could be 20 times the slab thickness, </w:t>
      </w:r>
      <w:proofErr w:type="spellStart"/>
      <w:r w:rsidRPr="005A3ABE">
        <w:rPr>
          <w:rFonts w:ascii="Calibri" w:eastAsia="Calibri" w:hAnsi="Calibri"/>
        </w:rPr>
        <w:t>ie</w:t>
      </w:r>
      <w:proofErr w:type="spellEnd"/>
      <w:r w:rsidRPr="005A3ABE">
        <w:rPr>
          <w:rFonts w:ascii="Calibri" w:eastAsia="Calibri" w:hAnsi="Calibri"/>
        </w:rPr>
        <w:t xml:space="preserve"> about 5 m. Others have suggested that this may actually be 30 times the slab thickness, </w:t>
      </w:r>
      <w:proofErr w:type="spellStart"/>
      <w:r w:rsidRPr="005A3ABE">
        <w:rPr>
          <w:rFonts w:ascii="Calibri" w:eastAsia="Calibri" w:hAnsi="Calibri"/>
        </w:rPr>
        <w:t>ie</w:t>
      </w:r>
      <w:proofErr w:type="spellEnd"/>
      <w:r w:rsidRPr="005A3ABE">
        <w:rPr>
          <w:rFonts w:ascii="Calibri" w:eastAsia="Calibri" w:hAnsi="Calibri"/>
        </w:rPr>
        <w:t xml:space="preserve"> 7.5 m. After the mix design, actual shrinkage figures will be available for calculation of the realistic spacing of joints</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It is not practical to try to reinforce RCC.</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 xml:space="preserve">Even though pavers can place thicker layers, </w:t>
      </w:r>
      <w:proofErr w:type="spellStart"/>
      <w:r w:rsidRPr="005A3ABE">
        <w:rPr>
          <w:rFonts w:ascii="Calibri" w:eastAsia="Calibri" w:hAnsi="Calibri"/>
        </w:rPr>
        <w:t>eg</w:t>
      </w:r>
      <w:proofErr w:type="spellEnd"/>
      <w:r w:rsidRPr="005A3ABE">
        <w:rPr>
          <w:rFonts w:ascii="Calibri" w:eastAsia="Calibri" w:hAnsi="Calibri"/>
        </w:rPr>
        <w:t xml:space="preserve"> 300 mm, it has been shown that about 250 mm is the maximum for complete compaction.</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 xml:space="preserve">It is quite risky to place RCC in two or more layers as ineffective bonding between the layers will prevent the total pavement depth acting as a unit, which in turn results in maximum flexural stresses being located at the bottom of the top layer. </w:t>
      </w:r>
    </w:p>
    <w:p w:rsidR="005A3ABE" w:rsidRPr="005A3ABE" w:rsidRDefault="005A3ABE" w:rsidP="005A3ABE">
      <w:pPr>
        <w:numPr>
          <w:ilvl w:val="0"/>
          <w:numId w:val="12"/>
        </w:numPr>
        <w:contextualSpacing/>
        <w:jc w:val="both"/>
        <w:rPr>
          <w:rFonts w:ascii="Calibri" w:eastAsia="Calibri" w:hAnsi="Calibri"/>
        </w:rPr>
      </w:pPr>
      <w:r w:rsidRPr="005A3ABE">
        <w:rPr>
          <w:rFonts w:ascii="Calibri" w:eastAsia="Calibri" w:hAnsi="Calibri"/>
        </w:rPr>
        <w:t>RCC surface cannot be screeded or trimmed. Full scale field trials have demonstrated that for high speed roads the normal RCC finish is too rough and an asphalt wearing surface will be required.</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b/>
          <w:sz w:val="24"/>
          <w:szCs w:val="24"/>
        </w:rPr>
      </w:pPr>
      <w:r w:rsidRPr="005A3ABE">
        <w:rPr>
          <w:rFonts w:ascii="Calibri" w:eastAsia="Calibri" w:hAnsi="Calibri"/>
          <w:b/>
          <w:sz w:val="24"/>
          <w:szCs w:val="24"/>
        </w:rPr>
        <w:t>References</w:t>
      </w:r>
    </w:p>
    <w:p w:rsidR="005A3ABE" w:rsidRPr="005A3ABE" w:rsidRDefault="005A3ABE" w:rsidP="005A3ABE">
      <w:pPr>
        <w:jc w:val="both"/>
        <w:rPr>
          <w:rFonts w:ascii="Calibri" w:eastAsia="Calibri" w:hAnsi="Calibri"/>
        </w:rPr>
      </w:pPr>
    </w:p>
    <w:p w:rsidR="005A3ABE" w:rsidRPr="005A3ABE" w:rsidRDefault="005A3ABE" w:rsidP="005A3ABE">
      <w:pPr>
        <w:numPr>
          <w:ilvl w:val="0"/>
          <w:numId w:val="14"/>
        </w:numPr>
        <w:contextualSpacing/>
        <w:jc w:val="both"/>
        <w:rPr>
          <w:rFonts w:ascii="Calibri" w:eastAsia="Calibri" w:hAnsi="Calibri"/>
        </w:rPr>
      </w:pPr>
      <w:proofErr w:type="spellStart"/>
      <w:r w:rsidRPr="005A3ABE">
        <w:rPr>
          <w:rFonts w:ascii="Calibri" w:eastAsia="Calibri" w:hAnsi="Calibri"/>
        </w:rPr>
        <w:t>Austroads</w:t>
      </w:r>
      <w:proofErr w:type="spellEnd"/>
      <w:r w:rsidRPr="005A3ABE">
        <w:rPr>
          <w:rFonts w:ascii="Calibri" w:eastAsia="Calibri" w:hAnsi="Calibri"/>
        </w:rPr>
        <w:t>, Guide to Pavement Technology –Part 2: Pavement Structural Design, 2008.</w:t>
      </w:r>
    </w:p>
    <w:p w:rsidR="005A3ABE" w:rsidRPr="006E5B74" w:rsidRDefault="006E5B74" w:rsidP="006E5B74">
      <w:pPr>
        <w:pStyle w:val="Loendilik"/>
        <w:numPr>
          <w:ilvl w:val="0"/>
          <w:numId w:val="14"/>
        </w:numPr>
        <w:jc w:val="both"/>
        <w:rPr>
          <w:rFonts w:ascii="Calibri" w:eastAsia="Calibri" w:hAnsi="Calibri"/>
        </w:rPr>
      </w:pPr>
      <w:r w:rsidRPr="006E5B74">
        <w:rPr>
          <w:rFonts w:ascii="Calibri" w:eastAsia="Calibri" w:hAnsi="Calibri"/>
        </w:rPr>
        <w:t xml:space="preserve"> </w:t>
      </w:r>
      <w:r w:rsidR="005A3ABE" w:rsidRPr="006E5B74">
        <w:rPr>
          <w:rFonts w:ascii="Calibri" w:eastAsia="Calibri" w:hAnsi="Calibri"/>
        </w:rPr>
        <w:t>Hodgkinson</w:t>
      </w:r>
      <w:r w:rsidRPr="006E5B74">
        <w:rPr>
          <w:rFonts w:ascii="Calibri" w:eastAsia="Calibri" w:hAnsi="Calibri"/>
        </w:rPr>
        <w:t xml:space="preserve"> J R</w:t>
      </w:r>
      <w:r w:rsidR="005A3ABE" w:rsidRPr="006E5B74">
        <w:rPr>
          <w:rFonts w:ascii="Calibri" w:eastAsia="Calibri" w:hAnsi="Calibri"/>
        </w:rPr>
        <w:t>, Design and Construction of Roller Compacted Concrete (RCC) Pavements</w:t>
      </w:r>
    </w:p>
    <w:p w:rsidR="006E5B74" w:rsidRDefault="006E5B74" w:rsidP="006E5B74">
      <w:pPr>
        <w:ind w:left="360"/>
        <w:contextualSpacing/>
        <w:jc w:val="both"/>
        <w:rPr>
          <w:rFonts w:ascii="Calibri" w:eastAsia="Calibri" w:hAnsi="Calibri"/>
        </w:rPr>
      </w:pPr>
      <w:r>
        <w:rPr>
          <w:rFonts w:ascii="Calibri" w:eastAsia="Calibri" w:hAnsi="Calibri"/>
        </w:rPr>
        <w:t>3     Tinni A, Explanatory Notes on the Purpose and use of Subbases. PIN 5</w:t>
      </w:r>
      <w:r w:rsidR="00A94613">
        <w:rPr>
          <w:rFonts w:ascii="Calibri" w:eastAsia="Calibri" w:hAnsi="Calibri"/>
        </w:rPr>
        <w:t xml:space="preserve"> – 29 01 2008</w:t>
      </w:r>
    </w:p>
    <w:p w:rsidR="006E5B74" w:rsidRDefault="006E5B74" w:rsidP="006E5B74">
      <w:pPr>
        <w:contextualSpacing/>
        <w:jc w:val="both"/>
        <w:rPr>
          <w:rFonts w:ascii="Calibri" w:eastAsia="Calibri" w:hAnsi="Calibri"/>
        </w:rPr>
      </w:pPr>
      <w:r>
        <w:rPr>
          <w:rFonts w:ascii="Calibri" w:eastAsia="Calibri" w:hAnsi="Calibri"/>
        </w:rPr>
        <w:t xml:space="preserve">       4      Tinni A, Effect of Subgrade Strength on Base Thickness. PIN 17</w:t>
      </w:r>
      <w:r w:rsidR="00A94613">
        <w:rPr>
          <w:rFonts w:ascii="Calibri" w:eastAsia="Calibri" w:hAnsi="Calibri"/>
        </w:rPr>
        <w:t xml:space="preserve"> – 26 09 2008</w:t>
      </w:r>
    </w:p>
    <w:p w:rsidR="006E5B74" w:rsidRDefault="006E5B74" w:rsidP="006E5B74">
      <w:pPr>
        <w:contextualSpacing/>
        <w:jc w:val="both"/>
        <w:rPr>
          <w:rFonts w:ascii="Calibri" w:eastAsia="Calibri" w:hAnsi="Calibri"/>
        </w:rPr>
      </w:pPr>
      <w:r>
        <w:rPr>
          <w:rFonts w:ascii="Calibri" w:eastAsia="Calibri" w:hAnsi="Calibri"/>
        </w:rPr>
        <w:t xml:space="preserve">       5      Tinni A, Roles of Selected Material Zone (SMZ) and Lean Mix Concrete (LMC) Subbase in    </w:t>
      </w:r>
    </w:p>
    <w:p w:rsidR="006E5B74" w:rsidRPr="005A3ABE" w:rsidRDefault="006E5B74" w:rsidP="006E5B74">
      <w:pPr>
        <w:contextualSpacing/>
        <w:jc w:val="both"/>
        <w:rPr>
          <w:rFonts w:ascii="Calibri" w:eastAsia="Calibri" w:hAnsi="Calibri"/>
        </w:rPr>
      </w:pPr>
      <w:r>
        <w:rPr>
          <w:rFonts w:ascii="Calibri" w:eastAsia="Calibri" w:hAnsi="Calibri"/>
        </w:rPr>
        <w:t xml:space="preserve">               </w:t>
      </w:r>
      <w:proofErr w:type="gramStart"/>
      <w:r>
        <w:rPr>
          <w:rFonts w:ascii="Calibri" w:eastAsia="Calibri" w:hAnsi="Calibri"/>
        </w:rPr>
        <w:t>Concrete Pavement Design.</w:t>
      </w:r>
      <w:proofErr w:type="gramEnd"/>
      <w:r>
        <w:rPr>
          <w:rFonts w:ascii="Calibri" w:eastAsia="Calibri" w:hAnsi="Calibri"/>
        </w:rPr>
        <w:t xml:space="preserve"> </w:t>
      </w:r>
      <w:r w:rsidR="00A94613">
        <w:rPr>
          <w:rFonts w:ascii="Calibri" w:eastAsia="Calibri" w:hAnsi="Calibri"/>
        </w:rPr>
        <w:t>PIN 18 –</w:t>
      </w:r>
      <w:r w:rsidR="005D73DE">
        <w:rPr>
          <w:rFonts w:ascii="Calibri" w:eastAsia="Calibri" w:hAnsi="Calibri"/>
        </w:rPr>
        <w:t xml:space="preserve"> 07 10 2008</w:t>
      </w: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rPr>
      </w:pPr>
    </w:p>
    <w:p w:rsidR="005A3ABE" w:rsidRPr="005A3ABE" w:rsidRDefault="005A3ABE" w:rsidP="005A3ABE">
      <w:pPr>
        <w:jc w:val="both"/>
        <w:rPr>
          <w:rFonts w:ascii="Calibri" w:eastAsia="Calibri" w:hAnsi="Calibri"/>
        </w:rPr>
      </w:pPr>
      <w:r w:rsidRPr="005A3ABE">
        <w:rPr>
          <w:rFonts w:ascii="Calibri" w:eastAsia="Calibri" w:hAnsi="Calibri"/>
        </w:rPr>
        <w:t>Arvo Tinni</w:t>
      </w:r>
    </w:p>
    <w:p w:rsidR="008A7568" w:rsidRDefault="008A7568" w:rsidP="008A7568">
      <w:pPr>
        <w:rPr>
          <w:vertAlign w:val="subscript"/>
          <w:lang w:val="en-US"/>
        </w:rPr>
      </w:pPr>
    </w:p>
    <w:p w:rsidR="008A7568" w:rsidRDefault="008A7568" w:rsidP="008A7568">
      <w:pPr>
        <w:rPr>
          <w:vertAlign w:val="subscript"/>
          <w:lang w:val="en-US"/>
        </w:rPr>
      </w:pPr>
    </w:p>
    <w:p w:rsidR="008A7568" w:rsidRPr="008E5F00" w:rsidRDefault="008A7568" w:rsidP="008A7568">
      <w:pPr>
        <w:rPr>
          <w:lang w:val="en-US"/>
        </w:rPr>
      </w:pPr>
    </w:p>
    <w:p w:rsidR="00AF6BE9" w:rsidRPr="00EE57DA" w:rsidRDefault="00AF6BE9" w:rsidP="00EE57DA"/>
    <w:p w:rsidR="00AF6BE9" w:rsidRDefault="00AF6BE9" w:rsidP="00226840"/>
    <w:p w:rsidR="00EE57DA" w:rsidRDefault="00EE57DA" w:rsidP="00EE57DA">
      <w:pPr>
        <w:ind w:left="1440"/>
        <w:jc w:val="both"/>
      </w:pPr>
    </w:p>
    <w:sectPr w:rsidR="00EE57DA" w:rsidSect="008A7568">
      <w:footerReference w:type="even" r:id="rId12"/>
      <w:footerReference w:type="default" r:id="rId13"/>
      <w:pgSz w:w="11907" w:h="16840" w:code="9"/>
      <w:pgMar w:top="851" w:right="1418" w:bottom="539" w:left="1418" w:header="720" w:footer="720" w:gutter="0"/>
      <w:pgBorders w:offsetFrom="page">
        <w:top w:val="twistedLines1" w:sz="9" w:space="24" w:color="auto"/>
        <w:left w:val="twistedLines1" w:sz="9" w:space="24" w:color="auto"/>
        <w:bottom w:val="twistedLines1" w:sz="9" w:space="24" w:color="auto"/>
        <w:right w:val="twistedLines1" w:sz="9"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C8" w:rsidRDefault="006825C8">
      <w:r>
        <w:separator/>
      </w:r>
    </w:p>
  </w:endnote>
  <w:endnote w:type="continuationSeparator" w:id="0">
    <w:p w:rsidR="006825C8" w:rsidRDefault="0068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DA" w:rsidRDefault="00EE57DA" w:rsidP="00DD3F7A">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EE57DA" w:rsidRDefault="00EE57DA" w:rsidP="00EE57DA">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DA" w:rsidRDefault="00EE57DA" w:rsidP="00DD3F7A">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505EB5">
      <w:rPr>
        <w:rStyle w:val="Lehekljenumber"/>
        <w:noProof/>
      </w:rPr>
      <w:t>2</w:t>
    </w:r>
    <w:r>
      <w:rPr>
        <w:rStyle w:val="Lehekljenumber"/>
      </w:rPr>
      <w:fldChar w:fldCharType="end"/>
    </w:r>
  </w:p>
  <w:p w:rsidR="00EE57DA" w:rsidRDefault="00EE57DA" w:rsidP="00EE57DA">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C8" w:rsidRDefault="006825C8">
      <w:r>
        <w:separator/>
      </w:r>
    </w:p>
  </w:footnote>
  <w:footnote w:type="continuationSeparator" w:id="0">
    <w:p w:rsidR="006825C8" w:rsidRDefault="00682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59D"/>
    <w:multiLevelType w:val="hybridMultilevel"/>
    <w:tmpl w:val="B0C890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E50D07"/>
    <w:multiLevelType w:val="hybridMultilevel"/>
    <w:tmpl w:val="E51E2C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2C352CE"/>
    <w:multiLevelType w:val="hybridMultilevel"/>
    <w:tmpl w:val="A8985CFA"/>
    <w:lvl w:ilvl="0" w:tplc="169E01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1E234C"/>
    <w:multiLevelType w:val="hybridMultilevel"/>
    <w:tmpl w:val="99D638E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3F1C67A4"/>
    <w:multiLevelType w:val="hybridMultilevel"/>
    <w:tmpl w:val="9880D7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86102A6"/>
    <w:multiLevelType w:val="hybridMultilevel"/>
    <w:tmpl w:val="F9C80C92"/>
    <w:lvl w:ilvl="0" w:tplc="A8CC0CB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246059F"/>
    <w:multiLevelType w:val="hybridMultilevel"/>
    <w:tmpl w:val="D680AB5C"/>
    <w:lvl w:ilvl="0" w:tplc="AFACDC3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57D54A69"/>
    <w:multiLevelType w:val="hybridMultilevel"/>
    <w:tmpl w:val="EAEAC4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EA81CCE"/>
    <w:multiLevelType w:val="hybridMultilevel"/>
    <w:tmpl w:val="14740FDC"/>
    <w:lvl w:ilvl="0" w:tplc="66E4D96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FED54C2"/>
    <w:multiLevelType w:val="hybridMultilevel"/>
    <w:tmpl w:val="73ACF0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9093C37"/>
    <w:multiLevelType w:val="hybridMultilevel"/>
    <w:tmpl w:val="BD087B7E"/>
    <w:lvl w:ilvl="0" w:tplc="A200461A">
      <w:start w:val="1"/>
      <w:numFmt w:val="decimal"/>
      <w:lvlText w:val="%1"/>
      <w:lvlJc w:val="left"/>
      <w:pPr>
        <w:tabs>
          <w:tab w:val="num" w:pos="750"/>
        </w:tabs>
        <w:ind w:left="750" w:hanging="3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A4D4DCE"/>
    <w:multiLevelType w:val="hybridMultilevel"/>
    <w:tmpl w:val="19BEFE9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E5C1944"/>
    <w:multiLevelType w:val="hybridMultilevel"/>
    <w:tmpl w:val="BBA66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3F851BC"/>
    <w:multiLevelType w:val="hybridMultilevel"/>
    <w:tmpl w:val="5FCCB2C0"/>
    <w:lvl w:ilvl="0" w:tplc="3E024038">
      <w:start w:val="1"/>
      <w:numFmt w:val="decimal"/>
      <w:lvlText w:val="%1"/>
      <w:lvlJc w:val="left"/>
      <w:pPr>
        <w:tabs>
          <w:tab w:val="num" w:pos="720"/>
        </w:tabs>
        <w:ind w:left="720" w:hanging="360"/>
      </w:pPr>
      <w:rPr>
        <w:rFonts w:hint="default"/>
      </w:rPr>
    </w:lvl>
    <w:lvl w:ilvl="1" w:tplc="0C09000B">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3"/>
  </w:num>
  <w:num w:numId="4">
    <w:abstractNumId w:val="4"/>
  </w:num>
  <w:num w:numId="5">
    <w:abstractNumId w:val="7"/>
  </w:num>
  <w:num w:numId="6">
    <w:abstractNumId w:val="8"/>
  </w:num>
  <w:num w:numId="7">
    <w:abstractNumId w:val="6"/>
  </w:num>
  <w:num w:numId="8">
    <w:abstractNumId w:val="13"/>
  </w:num>
  <w:num w:numId="9">
    <w:abstractNumId w:val="10"/>
  </w:num>
  <w:num w:numId="10">
    <w:abstractNumId w:val="12"/>
  </w:num>
  <w:num w:numId="11">
    <w:abstractNumId w:val="0"/>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9F"/>
    <w:rsid w:val="0000020D"/>
    <w:rsid w:val="00001A12"/>
    <w:rsid w:val="000051C2"/>
    <w:rsid w:val="0000617C"/>
    <w:rsid w:val="00006EE9"/>
    <w:rsid w:val="00013202"/>
    <w:rsid w:val="000148C5"/>
    <w:rsid w:val="00014CFF"/>
    <w:rsid w:val="00015B24"/>
    <w:rsid w:val="00021CBB"/>
    <w:rsid w:val="000237B3"/>
    <w:rsid w:val="00023CE6"/>
    <w:rsid w:val="00025020"/>
    <w:rsid w:val="0002597B"/>
    <w:rsid w:val="0003011B"/>
    <w:rsid w:val="000307EC"/>
    <w:rsid w:val="00030F53"/>
    <w:rsid w:val="00032270"/>
    <w:rsid w:val="00032DE4"/>
    <w:rsid w:val="0003418B"/>
    <w:rsid w:val="00035C8E"/>
    <w:rsid w:val="00035EB7"/>
    <w:rsid w:val="000373B5"/>
    <w:rsid w:val="00037FA3"/>
    <w:rsid w:val="000408A9"/>
    <w:rsid w:val="00040AA9"/>
    <w:rsid w:val="0004204B"/>
    <w:rsid w:val="00043E99"/>
    <w:rsid w:val="000446EB"/>
    <w:rsid w:val="00047795"/>
    <w:rsid w:val="00052EAF"/>
    <w:rsid w:val="000541D2"/>
    <w:rsid w:val="00060F9E"/>
    <w:rsid w:val="00062570"/>
    <w:rsid w:val="0006332A"/>
    <w:rsid w:val="0006390F"/>
    <w:rsid w:val="00065D2F"/>
    <w:rsid w:val="00070B78"/>
    <w:rsid w:val="00070D5E"/>
    <w:rsid w:val="00071109"/>
    <w:rsid w:val="0007417C"/>
    <w:rsid w:val="000742CF"/>
    <w:rsid w:val="0007433D"/>
    <w:rsid w:val="00074B0D"/>
    <w:rsid w:val="00074D14"/>
    <w:rsid w:val="000779AC"/>
    <w:rsid w:val="000810EB"/>
    <w:rsid w:val="00084C49"/>
    <w:rsid w:val="00085581"/>
    <w:rsid w:val="00086030"/>
    <w:rsid w:val="000876C0"/>
    <w:rsid w:val="000900E1"/>
    <w:rsid w:val="00091F2E"/>
    <w:rsid w:val="00094B65"/>
    <w:rsid w:val="00094C8A"/>
    <w:rsid w:val="0009564C"/>
    <w:rsid w:val="000A03AC"/>
    <w:rsid w:val="000A06E8"/>
    <w:rsid w:val="000A542C"/>
    <w:rsid w:val="000A55CA"/>
    <w:rsid w:val="000B0DF9"/>
    <w:rsid w:val="000B20BA"/>
    <w:rsid w:val="000B301F"/>
    <w:rsid w:val="000B3351"/>
    <w:rsid w:val="000C0781"/>
    <w:rsid w:val="000C28ED"/>
    <w:rsid w:val="000C2EF7"/>
    <w:rsid w:val="000C62F4"/>
    <w:rsid w:val="000D021C"/>
    <w:rsid w:val="000D07FE"/>
    <w:rsid w:val="000D12EA"/>
    <w:rsid w:val="000E2B51"/>
    <w:rsid w:val="000E398A"/>
    <w:rsid w:val="000F124C"/>
    <w:rsid w:val="000F69DC"/>
    <w:rsid w:val="00100AAE"/>
    <w:rsid w:val="00104729"/>
    <w:rsid w:val="00105348"/>
    <w:rsid w:val="001104EF"/>
    <w:rsid w:val="00110AC4"/>
    <w:rsid w:val="00112C98"/>
    <w:rsid w:val="00112CF4"/>
    <w:rsid w:val="001131A1"/>
    <w:rsid w:val="00114D83"/>
    <w:rsid w:val="00120C12"/>
    <w:rsid w:val="001244C6"/>
    <w:rsid w:val="00125A7C"/>
    <w:rsid w:val="001266F9"/>
    <w:rsid w:val="00126D0C"/>
    <w:rsid w:val="00132EFB"/>
    <w:rsid w:val="00133460"/>
    <w:rsid w:val="001345CB"/>
    <w:rsid w:val="00137F28"/>
    <w:rsid w:val="001414DB"/>
    <w:rsid w:val="0014152A"/>
    <w:rsid w:val="001421F2"/>
    <w:rsid w:val="00145C0D"/>
    <w:rsid w:val="00151B90"/>
    <w:rsid w:val="00152131"/>
    <w:rsid w:val="00156D92"/>
    <w:rsid w:val="00157831"/>
    <w:rsid w:val="00157C31"/>
    <w:rsid w:val="00157FAF"/>
    <w:rsid w:val="001609B9"/>
    <w:rsid w:val="00160C65"/>
    <w:rsid w:val="00161152"/>
    <w:rsid w:val="0016295E"/>
    <w:rsid w:val="00167056"/>
    <w:rsid w:val="0016751C"/>
    <w:rsid w:val="0017174D"/>
    <w:rsid w:val="00171C70"/>
    <w:rsid w:val="00173CEB"/>
    <w:rsid w:val="0017714E"/>
    <w:rsid w:val="00177433"/>
    <w:rsid w:val="001776AE"/>
    <w:rsid w:val="00181343"/>
    <w:rsid w:val="00181E27"/>
    <w:rsid w:val="00184955"/>
    <w:rsid w:val="00186C58"/>
    <w:rsid w:val="00197872"/>
    <w:rsid w:val="001B06EF"/>
    <w:rsid w:val="001B0AA1"/>
    <w:rsid w:val="001B1AA0"/>
    <w:rsid w:val="001B2123"/>
    <w:rsid w:val="001B6042"/>
    <w:rsid w:val="001C015A"/>
    <w:rsid w:val="001C18EA"/>
    <w:rsid w:val="001C24D0"/>
    <w:rsid w:val="001C387B"/>
    <w:rsid w:val="001C4901"/>
    <w:rsid w:val="001C5D69"/>
    <w:rsid w:val="001C6021"/>
    <w:rsid w:val="001C682C"/>
    <w:rsid w:val="001C7007"/>
    <w:rsid w:val="001C760E"/>
    <w:rsid w:val="001C7DA5"/>
    <w:rsid w:val="001D1DC5"/>
    <w:rsid w:val="001D4E5F"/>
    <w:rsid w:val="001D758D"/>
    <w:rsid w:val="001E0312"/>
    <w:rsid w:val="001E0640"/>
    <w:rsid w:val="001E345D"/>
    <w:rsid w:val="001E36AB"/>
    <w:rsid w:val="001E3F98"/>
    <w:rsid w:val="001E72BA"/>
    <w:rsid w:val="001F1D88"/>
    <w:rsid w:val="001F24EF"/>
    <w:rsid w:val="001F2FBF"/>
    <w:rsid w:val="001F5779"/>
    <w:rsid w:val="001F6D66"/>
    <w:rsid w:val="002001DA"/>
    <w:rsid w:val="0020029A"/>
    <w:rsid w:val="0020375E"/>
    <w:rsid w:val="00204D79"/>
    <w:rsid w:val="00205792"/>
    <w:rsid w:val="002064B7"/>
    <w:rsid w:val="00210CE6"/>
    <w:rsid w:val="0021221D"/>
    <w:rsid w:val="002133BA"/>
    <w:rsid w:val="00216327"/>
    <w:rsid w:val="00226840"/>
    <w:rsid w:val="00231A13"/>
    <w:rsid w:val="00231C63"/>
    <w:rsid w:val="00232018"/>
    <w:rsid w:val="00233300"/>
    <w:rsid w:val="00235121"/>
    <w:rsid w:val="00235224"/>
    <w:rsid w:val="00237B55"/>
    <w:rsid w:val="00237FBA"/>
    <w:rsid w:val="00240ED1"/>
    <w:rsid w:val="00240F84"/>
    <w:rsid w:val="00241F99"/>
    <w:rsid w:val="00242013"/>
    <w:rsid w:val="002424A6"/>
    <w:rsid w:val="00246531"/>
    <w:rsid w:val="0025026B"/>
    <w:rsid w:val="002549C7"/>
    <w:rsid w:val="002564E6"/>
    <w:rsid w:val="0026065F"/>
    <w:rsid w:val="00260CB8"/>
    <w:rsid w:val="00261ACA"/>
    <w:rsid w:val="00264CBE"/>
    <w:rsid w:val="00265CB1"/>
    <w:rsid w:val="002748F1"/>
    <w:rsid w:val="0027501E"/>
    <w:rsid w:val="00275330"/>
    <w:rsid w:val="00276247"/>
    <w:rsid w:val="00277883"/>
    <w:rsid w:val="002809C2"/>
    <w:rsid w:val="00290776"/>
    <w:rsid w:val="002932F9"/>
    <w:rsid w:val="00294DD8"/>
    <w:rsid w:val="002A024C"/>
    <w:rsid w:val="002A3D2A"/>
    <w:rsid w:val="002A3DD1"/>
    <w:rsid w:val="002A43A0"/>
    <w:rsid w:val="002A4B3D"/>
    <w:rsid w:val="002A5EDB"/>
    <w:rsid w:val="002A6ABE"/>
    <w:rsid w:val="002B0C3A"/>
    <w:rsid w:val="002B139A"/>
    <w:rsid w:val="002B1DD5"/>
    <w:rsid w:val="002B1F8A"/>
    <w:rsid w:val="002B31EA"/>
    <w:rsid w:val="002B33FB"/>
    <w:rsid w:val="002B4C92"/>
    <w:rsid w:val="002B635C"/>
    <w:rsid w:val="002B63E2"/>
    <w:rsid w:val="002B7912"/>
    <w:rsid w:val="002C07CB"/>
    <w:rsid w:val="002C1A91"/>
    <w:rsid w:val="002C1F16"/>
    <w:rsid w:val="002C557A"/>
    <w:rsid w:val="002C6739"/>
    <w:rsid w:val="002D17CC"/>
    <w:rsid w:val="002D2B48"/>
    <w:rsid w:val="002D40B3"/>
    <w:rsid w:val="002D4113"/>
    <w:rsid w:val="002D4B2F"/>
    <w:rsid w:val="002D5136"/>
    <w:rsid w:val="002D5617"/>
    <w:rsid w:val="002E0B50"/>
    <w:rsid w:val="002E0D20"/>
    <w:rsid w:val="002E57D7"/>
    <w:rsid w:val="002E6945"/>
    <w:rsid w:val="002E7FEA"/>
    <w:rsid w:val="002F03C7"/>
    <w:rsid w:val="002F2017"/>
    <w:rsid w:val="002F36BD"/>
    <w:rsid w:val="002F5766"/>
    <w:rsid w:val="002F6A4B"/>
    <w:rsid w:val="002F75AD"/>
    <w:rsid w:val="00307014"/>
    <w:rsid w:val="00307770"/>
    <w:rsid w:val="0030780C"/>
    <w:rsid w:val="00310661"/>
    <w:rsid w:val="00312A64"/>
    <w:rsid w:val="0031388D"/>
    <w:rsid w:val="003139AB"/>
    <w:rsid w:val="00313A54"/>
    <w:rsid w:val="003147C1"/>
    <w:rsid w:val="00316D7E"/>
    <w:rsid w:val="00321385"/>
    <w:rsid w:val="00321795"/>
    <w:rsid w:val="00321DD2"/>
    <w:rsid w:val="00323F18"/>
    <w:rsid w:val="00324967"/>
    <w:rsid w:val="00326C8C"/>
    <w:rsid w:val="0033100E"/>
    <w:rsid w:val="0033433E"/>
    <w:rsid w:val="00335ADB"/>
    <w:rsid w:val="00336558"/>
    <w:rsid w:val="00336FF1"/>
    <w:rsid w:val="003376A3"/>
    <w:rsid w:val="0034056A"/>
    <w:rsid w:val="00340C02"/>
    <w:rsid w:val="00343E15"/>
    <w:rsid w:val="00345EBC"/>
    <w:rsid w:val="00346BDB"/>
    <w:rsid w:val="0035028F"/>
    <w:rsid w:val="00352479"/>
    <w:rsid w:val="00354805"/>
    <w:rsid w:val="003579EC"/>
    <w:rsid w:val="00365602"/>
    <w:rsid w:val="00367304"/>
    <w:rsid w:val="00374848"/>
    <w:rsid w:val="00376498"/>
    <w:rsid w:val="00381563"/>
    <w:rsid w:val="00381BDC"/>
    <w:rsid w:val="003829A6"/>
    <w:rsid w:val="00383115"/>
    <w:rsid w:val="00384F9A"/>
    <w:rsid w:val="00385DB6"/>
    <w:rsid w:val="00386748"/>
    <w:rsid w:val="00386A64"/>
    <w:rsid w:val="00391A39"/>
    <w:rsid w:val="00392CAB"/>
    <w:rsid w:val="00392E6F"/>
    <w:rsid w:val="00393F86"/>
    <w:rsid w:val="00395BCF"/>
    <w:rsid w:val="00396850"/>
    <w:rsid w:val="00397BAC"/>
    <w:rsid w:val="00397CAD"/>
    <w:rsid w:val="003A175A"/>
    <w:rsid w:val="003A27D4"/>
    <w:rsid w:val="003A50FF"/>
    <w:rsid w:val="003A513A"/>
    <w:rsid w:val="003A5A4F"/>
    <w:rsid w:val="003A68A9"/>
    <w:rsid w:val="003B09F4"/>
    <w:rsid w:val="003B2727"/>
    <w:rsid w:val="003B4394"/>
    <w:rsid w:val="003B46B3"/>
    <w:rsid w:val="003B601E"/>
    <w:rsid w:val="003B6170"/>
    <w:rsid w:val="003C3172"/>
    <w:rsid w:val="003C3B30"/>
    <w:rsid w:val="003C415D"/>
    <w:rsid w:val="003C7156"/>
    <w:rsid w:val="003C7615"/>
    <w:rsid w:val="003D078C"/>
    <w:rsid w:val="003D0C97"/>
    <w:rsid w:val="003D4752"/>
    <w:rsid w:val="003D6728"/>
    <w:rsid w:val="003D7B36"/>
    <w:rsid w:val="003E234B"/>
    <w:rsid w:val="003E3269"/>
    <w:rsid w:val="003F06CF"/>
    <w:rsid w:val="003F1429"/>
    <w:rsid w:val="003F1A09"/>
    <w:rsid w:val="003F7CC8"/>
    <w:rsid w:val="00400EF5"/>
    <w:rsid w:val="00401E06"/>
    <w:rsid w:val="00404234"/>
    <w:rsid w:val="00405550"/>
    <w:rsid w:val="004058E8"/>
    <w:rsid w:val="00407351"/>
    <w:rsid w:val="00410355"/>
    <w:rsid w:val="004119F2"/>
    <w:rsid w:val="00411C5C"/>
    <w:rsid w:val="00411EED"/>
    <w:rsid w:val="004123E0"/>
    <w:rsid w:val="004130AA"/>
    <w:rsid w:val="0042055E"/>
    <w:rsid w:val="00421158"/>
    <w:rsid w:val="00421A70"/>
    <w:rsid w:val="00421CF4"/>
    <w:rsid w:val="00423961"/>
    <w:rsid w:val="00427899"/>
    <w:rsid w:val="004278C7"/>
    <w:rsid w:val="004321D4"/>
    <w:rsid w:val="00434E2A"/>
    <w:rsid w:val="00435D49"/>
    <w:rsid w:val="004370D5"/>
    <w:rsid w:val="0043780B"/>
    <w:rsid w:val="004426FD"/>
    <w:rsid w:val="00443939"/>
    <w:rsid w:val="00445DA9"/>
    <w:rsid w:val="00453637"/>
    <w:rsid w:val="00456494"/>
    <w:rsid w:val="004572BA"/>
    <w:rsid w:val="00460CB4"/>
    <w:rsid w:val="0046169C"/>
    <w:rsid w:val="00462284"/>
    <w:rsid w:val="004625BF"/>
    <w:rsid w:val="004628C6"/>
    <w:rsid w:val="00462DCA"/>
    <w:rsid w:val="00463568"/>
    <w:rsid w:val="0046504B"/>
    <w:rsid w:val="00467255"/>
    <w:rsid w:val="004673D0"/>
    <w:rsid w:val="00473826"/>
    <w:rsid w:val="004749EC"/>
    <w:rsid w:val="004770C4"/>
    <w:rsid w:val="00480FE8"/>
    <w:rsid w:val="00484624"/>
    <w:rsid w:val="00484AD1"/>
    <w:rsid w:val="0048541D"/>
    <w:rsid w:val="004857A4"/>
    <w:rsid w:val="00486CF9"/>
    <w:rsid w:val="00486DF8"/>
    <w:rsid w:val="004927AF"/>
    <w:rsid w:val="00493211"/>
    <w:rsid w:val="00494BE5"/>
    <w:rsid w:val="00495538"/>
    <w:rsid w:val="0049665C"/>
    <w:rsid w:val="00496F43"/>
    <w:rsid w:val="004A468D"/>
    <w:rsid w:val="004B1394"/>
    <w:rsid w:val="004B5237"/>
    <w:rsid w:val="004B6BD5"/>
    <w:rsid w:val="004B70F8"/>
    <w:rsid w:val="004C28D3"/>
    <w:rsid w:val="004C2C8B"/>
    <w:rsid w:val="004C33F4"/>
    <w:rsid w:val="004C3DE6"/>
    <w:rsid w:val="004C7E80"/>
    <w:rsid w:val="004D293F"/>
    <w:rsid w:val="004D2F85"/>
    <w:rsid w:val="004D47EF"/>
    <w:rsid w:val="004D48D1"/>
    <w:rsid w:val="004D4F7B"/>
    <w:rsid w:val="004D52DC"/>
    <w:rsid w:val="004D58F0"/>
    <w:rsid w:val="004E1605"/>
    <w:rsid w:val="004E1C4B"/>
    <w:rsid w:val="004E333F"/>
    <w:rsid w:val="004E3E74"/>
    <w:rsid w:val="004E4D9D"/>
    <w:rsid w:val="004E5FFA"/>
    <w:rsid w:val="004E66A7"/>
    <w:rsid w:val="004E7577"/>
    <w:rsid w:val="004F0F9C"/>
    <w:rsid w:val="004F2552"/>
    <w:rsid w:val="004F2576"/>
    <w:rsid w:val="004F365A"/>
    <w:rsid w:val="004F473C"/>
    <w:rsid w:val="004F5A3D"/>
    <w:rsid w:val="004F6FF2"/>
    <w:rsid w:val="004F7B5E"/>
    <w:rsid w:val="005009A2"/>
    <w:rsid w:val="00500B5B"/>
    <w:rsid w:val="00502C0C"/>
    <w:rsid w:val="005032B3"/>
    <w:rsid w:val="00503740"/>
    <w:rsid w:val="005058B5"/>
    <w:rsid w:val="005059C2"/>
    <w:rsid w:val="00505EB5"/>
    <w:rsid w:val="00506AB1"/>
    <w:rsid w:val="00507E35"/>
    <w:rsid w:val="00513A99"/>
    <w:rsid w:val="005164E2"/>
    <w:rsid w:val="0051654B"/>
    <w:rsid w:val="005168E2"/>
    <w:rsid w:val="00520F63"/>
    <w:rsid w:val="00523582"/>
    <w:rsid w:val="00523AAA"/>
    <w:rsid w:val="00524FD6"/>
    <w:rsid w:val="0052506A"/>
    <w:rsid w:val="00530E83"/>
    <w:rsid w:val="005316CE"/>
    <w:rsid w:val="00532328"/>
    <w:rsid w:val="00533EA8"/>
    <w:rsid w:val="00534DF6"/>
    <w:rsid w:val="00534FC9"/>
    <w:rsid w:val="005359B8"/>
    <w:rsid w:val="00541E26"/>
    <w:rsid w:val="00544615"/>
    <w:rsid w:val="0054576F"/>
    <w:rsid w:val="00546FE3"/>
    <w:rsid w:val="00550542"/>
    <w:rsid w:val="00552F62"/>
    <w:rsid w:val="00556676"/>
    <w:rsid w:val="00557031"/>
    <w:rsid w:val="00561A04"/>
    <w:rsid w:val="00561EAC"/>
    <w:rsid w:val="00563A34"/>
    <w:rsid w:val="005658A0"/>
    <w:rsid w:val="00565D9C"/>
    <w:rsid w:val="005706C8"/>
    <w:rsid w:val="005709D9"/>
    <w:rsid w:val="00570CF0"/>
    <w:rsid w:val="00573121"/>
    <w:rsid w:val="00574A0A"/>
    <w:rsid w:val="00574F0A"/>
    <w:rsid w:val="005757FA"/>
    <w:rsid w:val="00575880"/>
    <w:rsid w:val="005800E1"/>
    <w:rsid w:val="00581AAB"/>
    <w:rsid w:val="00582266"/>
    <w:rsid w:val="005835D0"/>
    <w:rsid w:val="00586ED0"/>
    <w:rsid w:val="00590B32"/>
    <w:rsid w:val="00595AB0"/>
    <w:rsid w:val="005967F7"/>
    <w:rsid w:val="005A2CB9"/>
    <w:rsid w:val="005A2D47"/>
    <w:rsid w:val="005A3A03"/>
    <w:rsid w:val="005A3ABE"/>
    <w:rsid w:val="005A49C6"/>
    <w:rsid w:val="005A73CB"/>
    <w:rsid w:val="005A77D8"/>
    <w:rsid w:val="005A7871"/>
    <w:rsid w:val="005B094E"/>
    <w:rsid w:val="005B12BB"/>
    <w:rsid w:val="005B2ED2"/>
    <w:rsid w:val="005B45FA"/>
    <w:rsid w:val="005B549F"/>
    <w:rsid w:val="005B7219"/>
    <w:rsid w:val="005C107B"/>
    <w:rsid w:val="005C1BAF"/>
    <w:rsid w:val="005C2C35"/>
    <w:rsid w:val="005C2C51"/>
    <w:rsid w:val="005C2FC4"/>
    <w:rsid w:val="005C5B6B"/>
    <w:rsid w:val="005D19E5"/>
    <w:rsid w:val="005D46CC"/>
    <w:rsid w:val="005D6508"/>
    <w:rsid w:val="005D73DE"/>
    <w:rsid w:val="005D7937"/>
    <w:rsid w:val="005E1769"/>
    <w:rsid w:val="005E2595"/>
    <w:rsid w:val="005E36E0"/>
    <w:rsid w:val="005E46D0"/>
    <w:rsid w:val="005E6850"/>
    <w:rsid w:val="005F1683"/>
    <w:rsid w:val="005F17F4"/>
    <w:rsid w:val="005F49C6"/>
    <w:rsid w:val="005F5112"/>
    <w:rsid w:val="006003CE"/>
    <w:rsid w:val="0060139C"/>
    <w:rsid w:val="00601EB2"/>
    <w:rsid w:val="006038BB"/>
    <w:rsid w:val="00605711"/>
    <w:rsid w:val="006114F1"/>
    <w:rsid w:val="00612157"/>
    <w:rsid w:val="00614402"/>
    <w:rsid w:val="0061733C"/>
    <w:rsid w:val="00617466"/>
    <w:rsid w:val="006200C9"/>
    <w:rsid w:val="00620B25"/>
    <w:rsid w:val="006217C3"/>
    <w:rsid w:val="00621B30"/>
    <w:rsid w:val="00622E71"/>
    <w:rsid w:val="00625CCA"/>
    <w:rsid w:val="00625D89"/>
    <w:rsid w:val="0063623F"/>
    <w:rsid w:val="006407D2"/>
    <w:rsid w:val="006424DC"/>
    <w:rsid w:val="00645F7C"/>
    <w:rsid w:val="00646ADB"/>
    <w:rsid w:val="006507C5"/>
    <w:rsid w:val="006516E7"/>
    <w:rsid w:val="00652104"/>
    <w:rsid w:val="00652A2E"/>
    <w:rsid w:val="00653B61"/>
    <w:rsid w:val="006542A9"/>
    <w:rsid w:val="006567E2"/>
    <w:rsid w:val="00661ADC"/>
    <w:rsid w:val="00662C77"/>
    <w:rsid w:val="00663547"/>
    <w:rsid w:val="00665BA9"/>
    <w:rsid w:val="0066697E"/>
    <w:rsid w:val="00667212"/>
    <w:rsid w:val="00670955"/>
    <w:rsid w:val="00672EA9"/>
    <w:rsid w:val="00675A44"/>
    <w:rsid w:val="00675B3A"/>
    <w:rsid w:val="00676470"/>
    <w:rsid w:val="00677882"/>
    <w:rsid w:val="00680231"/>
    <w:rsid w:val="006811AD"/>
    <w:rsid w:val="006815C9"/>
    <w:rsid w:val="00681F72"/>
    <w:rsid w:val="006825C8"/>
    <w:rsid w:val="00682ADB"/>
    <w:rsid w:val="006833AD"/>
    <w:rsid w:val="00684F9D"/>
    <w:rsid w:val="0068662C"/>
    <w:rsid w:val="00686E37"/>
    <w:rsid w:val="00692192"/>
    <w:rsid w:val="006938C1"/>
    <w:rsid w:val="00694148"/>
    <w:rsid w:val="00694545"/>
    <w:rsid w:val="00695250"/>
    <w:rsid w:val="006A0034"/>
    <w:rsid w:val="006A0275"/>
    <w:rsid w:val="006A316C"/>
    <w:rsid w:val="006A57C1"/>
    <w:rsid w:val="006A58EE"/>
    <w:rsid w:val="006A5A4B"/>
    <w:rsid w:val="006A67A1"/>
    <w:rsid w:val="006A74AF"/>
    <w:rsid w:val="006B02B8"/>
    <w:rsid w:val="006B02D5"/>
    <w:rsid w:val="006B0ECE"/>
    <w:rsid w:val="006B34D9"/>
    <w:rsid w:val="006B3955"/>
    <w:rsid w:val="006B49E8"/>
    <w:rsid w:val="006B644D"/>
    <w:rsid w:val="006C2196"/>
    <w:rsid w:val="006C3566"/>
    <w:rsid w:val="006C383F"/>
    <w:rsid w:val="006C42E7"/>
    <w:rsid w:val="006C553D"/>
    <w:rsid w:val="006D299F"/>
    <w:rsid w:val="006D3B41"/>
    <w:rsid w:val="006D4057"/>
    <w:rsid w:val="006D46E5"/>
    <w:rsid w:val="006D4C22"/>
    <w:rsid w:val="006D76E5"/>
    <w:rsid w:val="006E13EA"/>
    <w:rsid w:val="006E350E"/>
    <w:rsid w:val="006E4155"/>
    <w:rsid w:val="006E4D86"/>
    <w:rsid w:val="006E5B74"/>
    <w:rsid w:val="006E790B"/>
    <w:rsid w:val="006F4FF4"/>
    <w:rsid w:val="006F5792"/>
    <w:rsid w:val="006F65C6"/>
    <w:rsid w:val="007036AB"/>
    <w:rsid w:val="007044F9"/>
    <w:rsid w:val="00704C00"/>
    <w:rsid w:val="007059E4"/>
    <w:rsid w:val="007059E6"/>
    <w:rsid w:val="007068D4"/>
    <w:rsid w:val="00710631"/>
    <w:rsid w:val="0071122F"/>
    <w:rsid w:val="0071165B"/>
    <w:rsid w:val="007125D4"/>
    <w:rsid w:val="0071432A"/>
    <w:rsid w:val="00714344"/>
    <w:rsid w:val="007154D0"/>
    <w:rsid w:val="00715ABE"/>
    <w:rsid w:val="007216F0"/>
    <w:rsid w:val="00721E38"/>
    <w:rsid w:val="007244D4"/>
    <w:rsid w:val="00726B9B"/>
    <w:rsid w:val="00726F4E"/>
    <w:rsid w:val="00730430"/>
    <w:rsid w:val="00731499"/>
    <w:rsid w:val="00731C77"/>
    <w:rsid w:val="00732195"/>
    <w:rsid w:val="00732517"/>
    <w:rsid w:val="00732EE4"/>
    <w:rsid w:val="0073521E"/>
    <w:rsid w:val="00735552"/>
    <w:rsid w:val="00735F55"/>
    <w:rsid w:val="007361E4"/>
    <w:rsid w:val="0073676E"/>
    <w:rsid w:val="007369AC"/>
    <w:rsid w:val="00741787"/>
    <w:rsid w:val="00743446"/>
    <w:rsid w:val="0074436B"/>
    <w:rsid w:val="00746208"/>
    <w:rsid w:val="00746A79"/>
    <w:rsid w:val="00746D24"/>
    <w:rsid w:val="00747D04"/>
    <w:rsid w:val="007502D3"/>
    <w:rsid w:val="0075088D"/>
    <w:rsid w:val="007513D3"/>
    <w:rsid w:val="00753FE5"/>
    <w:rsid w:val="00754AFD"/>
    <w:rsid w:val="0075705D"/>
    <w:rsid w:val="00761FDF"/>
    <w:rsid w:val="00762DDC"/>
    <w:rsid w:val="00763E38"/>
    <w:rsid w:val="00766047"/>
    <w:rsid w:val="00766793"/>
    <w:rsid w:val="007719F2"/>
    <w:rsid w:val="00774087"/>
    <w:rsid w:val="00777DA2"/>
    <w:rsid w:val="0078332D"/>
    <w:rsid w:val="00784512"/>
    <w:rsid w:val="00790261"/>
    <w:rsid w:val="0079033F"/>
    <w:rsid w:val="00791B3B"/>
    <w:rsid w:val="0079282C"/>
    <w:rsid w:val="00794F10"/>
    <w:rsid w:val="007972CB"/>
    <w:rsid w:val="00797968"/>
    <w:rsid w:val="00797B3D"/>
    <w:rsid w:val="007A0333"/>
    <w:rsid w:val="007A0A5C"/>
    <w:rsid w:val="007A7CF7"/>
    <w:rsid w:val="007A7F08"/>
    <w:rsid w:val="007B10DA"/>
    <w:rsid w:val="007B6A7D"/>
    <w:rsid w:val="007B6CCC"/>
    <w:rsid w:val="007B6DF7"/>
    <w:rsid w:val="007C4F25"/>
    <w:rsid w:val="007C5A0D"/>
    <w:rsid w:val="007C5A89"/>
    <w:rsid w:val="007D02B6"/>
    <w:rsid w:val="007D683D"/>
    <w:rsid w:val="007E09DA"/>
    <w:rsid w:val="007E3E04"/>
    <w:rsid w:val="007E5120"/>
    <w:rsid w:val="007E564B"/>
    <w:rsid w:val="007F0B09"/>
    <w:rsid w:val="007F30BA"/>
    <w:rsid w:val="007F514A"/>
    <w:rsid w:val="007F64EE"/>
    <w:rsid w:val="00803F08"/>
    <w:rsid w:val="008042DD"/>
    <w:rsid w:val="00805D42"/>
    <w:rsid w:val="008102D0"/>
    <w:rsid w:val="00813016"/>
    <w:rsid w:val="00813BA9"/>
    <w:rsid w:val="00817AE6"/>
    <w:rsid w:val="00820804"/>
    <w:rsid w:val="0082150B"/>
    <w:rsid w:val="0082152F"/>
    <w:rsid w:val="00822E3E"/>
    <w:rsid w:val="0082353A"/>
    <w:rsid w:val="0082368E"/>
    <w:rsid w:val="00832644"/>
    <w:rsid w:val="0083340C"/>
    <w:rsid w:val="0084009D"/>
    <w:rsid w:val="00840844"/>
    <w:rsid w:val="00842787"/>
    <w:rsid w:val="008438D5"/>
    <w:rsid w:val="008468CC"/>
    <w:rsid w:val="008500F5"/>
    <w:rsid w:val="00852F45"/>
    <w:rsid w:val="00854409"/>
    <w:rsid w:val="00856C76"/>
    <w:rsid w:val="0085711F"/>
    <w:rsid w:val="0086201A"/>
    <w:rsid w:val="008623E7"/>
    <w:rsid w:val="00863635"/>
    <w:rsid w:val="00864328"/>
    <w:rsid w:val="0086476D"/>
    <w:rsid w:val="0086610F"/>
    <w:rsid w:val="00866CD9"/>
    <w:rsid w:val="0087128E"/>
    <w:rsid w:val="00871FD8"/>
    <w:rsid w:val="008749D4"/>
    <w:rsid w:val="00881238"/>
    <w:rsid w:val="008862CF"/>
    <w:rsid w:val="00887194"/>
    <w:rsid w:val="00887FA3"/>
    <w:rsid w:val="00890A1B"/>
    <w:rsid w:val="00892276"/>
    <w:rsid w:val="00895849"/>
    <w:rsid w:val="00895D0F"/>
    <w:rsid w:val="0089644B"/>
    <w:rsid w:val="00896A6C"/>
    <w:rsid w:val="00897714"/>
    <w:rsid w:val="00897B21"/>
    <w:rsid w:val="008A011E"/>
    <w:rsid w:val="008A275A"/>
    <w:rsid w:val="008A36E3"/>
    <w:rsid w:val="008A6241"/>
    <w:rsid w:val="008A7568"/>
    <w:rsid w:val="008B225F"/>
    <w:rsid w:val="008B38C1"/>
    <w:rsid w:val="008B3B05"/>
    <w:rsid w:val="008C0DBE"/>
    <w:rsid w:val="008C2A41"/>
    <w:rsid w:val="008C34D2"/>
    <w:rsid w:val="008C641B"/>
    <w:rsid w:val="008C68E2"/>
    <w:rsid w:val="008C6C0A"/>
    <w:rsid w:val="008D0341"/>
    <w:rsid w:val="008D1276"/>
    <w:rsid w:val="008D1C8B"/>
    <w:rsid w:val="008D2FE0"/>
    <w:rsid w:val="008D6A87"/>
    <w:rsid w:val="008E3FF0"/>
    <w:rsid w:val="008E54A1"/>
    <w:rsid w:val="008F1C70"/>
    <w:rsid w:val="0090304B"/>
    <w:rsid w:val="00903128"/>
    <w:rsid w:val="00904120"/>
    <w:rsid w:val="009044C1"/>
    <w:rsid w:val="009053DA"/>
    <w:rsid w:val="0091098E"/>
    <w:rsid w:val="00911DEE"/>
    <w:rsid w:val="00920EF7"/>
    <w:rsid w:val="00921827"/>
    <w:rsid w:val="00923233"/>
    <w:rsid w:val="00923A94"/>
    <w:rsid w:val="009246AC"/>
    <w:rsid w:val="00924D26"/>
    <w:rsid w:val="00930F2B"/>
    <w:rsid w:val="0093225E"/>
    <w:rsid w:val="00932EA1"/>
    <w:rsid w:val="00936F38"/>
    <w:rsid w:val="00940664"/>
    <w:rsid w:val="00940F01"/>
    <w:rsid w:val="0094436B"/>
    <w:rsid w:val="00944FDD"/>
    <w:rsid w:val="00945092"/>
    <w:rsid w:val="00946A3B"/>
    <w:rsid w:val="00954AFD"/>
    <w:rsid w:val="00954CE6"/>
    <w:rsid w:val="00955304"/>
    <w:rsid w:val="00955D59"/>
    <w:rsid w:val="00957FCC"/>
    <w:rsid w:val="009603F6"/>
    <w:rsid w:val="00961B92"/>
    <w:rsid w:val="00967ECB"/>
    <w:rsid w:val="00975856"/>
    <w:rsid w:val="0098046C"/>
    <w:rsid w:val="0098139A"/>
    <w:rsid w:val="00982A63"/>
    <w:rsid w:val="00982CFE"/>
    <w:rsid w:val="00985E2F"/>
    <w:rsid w:val="009862C8"/>
    <w:rsid w:val="00993B6E"/>
    <w:rsid w:val="0099725B"/>
    <w:rsid w:val="00997F8A"/>
    <w:rsid w:val="009A1966"/>
    <w:rsid w:val="009A3055"/>
    <w:rsid w:val="009A4917"/>
    <w:rsid w:val="009A5D7D"/>
    <w:rsid w:val="009A63F6"/>
    <w:rsid w:val="009B08EA"/>
    <w:rsid w:val="009B0990"/>
    <w:rsid w:val="009C013F"/>
    <w:rsid w:val="009C0954"/>
    <w:rsid w:val="009C0CF4"/>
    <w:rsid w:val="009C5D06"/>
    <w:rsid w:val="009C6392"/>
    <w:rsid w:val="009C6DCE"/>
    <w:rsid w:val="009D0775"/>
    <w:rsid w:val="009D1B96"/>
    <w:rsid w:val="009D3BEA"/>
    <w:rsid w:val="009D61FE"/>
    <w:rsid w:val="009D7454"/>
    <w:rsid w:val="009D7B18"/>
    <w:rsid w:val="009E032D"/>
    <w:rsid w:val="009E4D98"/>
    <w:rsid w:val="009E6924"/>
    <w:rsid w:val="009E7FFC"/>
    <w:rsid w:val="009F16F3"/>
    <w:rsid w:val="009F4282"/>
    <w:rsid w:val="009F70CD"/>
    <w:rsid w:val="00A00A75"/>
    <w:rsid w:val="00A010AF"/>
    <w:rsid w:val="00A039CA"/>
    <w:rsid w:val="00A0415A"/>
    <w:rsid w:val="00A05DB7"/>
    <w:rsid w:val="00A06880"/>
    <w:rsid w:val="00A102CE"/>
    <w:rsid w:val="00A10758"/>
    <w:rsid w:val="00A1421E"/>
    <w:rsid w:val="00A1553F"/>
    <w:rsid w:val="00A15740"/>
    <w:rsid w:val="00A17523"/>
    <w:rsid w:val="00A17B1F"/>
    <w:rsid w:val="00A22213"/>
    <w:rsid w:val="00A22DF5"/>
    <w:rsid w:val="00A2323B"/>
    <w:rsid w:val="00A2330A"/>
    <w:rsid w:val="00A23829"/>
    <w:rsid w:val="00A23A61"/>
    <w:rsid w:val="00A25F80"/>
    <w:rsid w:val="00A27FA9"/>
    <w:rsid w:val="00A30E57"/>
    <w:rsid w:val="00A3131D"/>
    <w:rsid w:val="00A32626"/>
    <w:rsid w:val="00A32FBA"/>
    <w:rsid w:val="00A3553A"/>
    <w:rsid w:val="00A37625"/>
    <w:rsid w:val="00A4132D"/>
    <w:rsid w:val="00A43F6D"/>
    <w:rsid w:val="00A500A3"/>
    <w:rsid w:val="00A53F25"/>
    <w:rsid w:val="00A54978"/>
    <w:rsid w:val="00A54E9B"/>
    <w:rsid w:val="00A56B72"/>
    <w:rsid w:val="00A6197A"/>
    <w:rsid w:val="00A635DB"/>
    <w:rsid w:val="00A63A76"/>
    <w:rsid w:val="00A647C2"/>
    <w:rsid w:val="00A66218"/>
    <w:rsid w:val="00A66B4A"/>
    <w:rsid w:val="00A726B7"/>
    <w:rsid w:val="00A727E4"/>
    <w:rsid w:val="00A752CE"/>
    <w:rsid w:val="00A905EF"/>
    <w:rsid w:val="00A910B4"/>
    <w:rsid w:val="00A92D63"/>
    <w:rsid w:val="00A94613"/>
    <w:rsid w:val="00A97286"/>
    <w:rsid w:val="00A973DF"/>
    <w:rsid w:val="00AA1962"/>
    <w:rsid w:val="00AA2014"/>
    <w:rsid w:val="00AA72FA"/>
    <w:rsid w:val="00AB0264"/>
    <w:rsid w:val="00AB079A"/>
    <w:rsid w:val="00AB1998"/>
    <w:rsid w:val="00AB34A4"/>
    <w:rsid w:val="00AB3DE5"/>
    <w:rsid w:val="00AB49B3"/>
    <w:rsid w:val="00AB5927"/>
    <w:rsid w:val="00AB7243"/>
    <w:rsid w:val="00AC217C"/>
    <w:rsid w:val="00AC2C73"/>
    <w:rsid w:val="00AC45F3"/>
    <w:rsid w:val="00AC4D80"/>
    <w:rsid w:val="00AC5A89"/>
    <w:rsid w:val="00AC6095"/>
    <w:rsid w:val="00AD0B57"/>
    <w:rsid w:val="00AD290A"/>
    <w:rsid w:val="00AD3B01"/>
    <w:rsid w:val="00AD4370"/>
    <w:rsid w:val="00AD61EC"/>
    <w:rsid w:val="00AD7F85"/>
    <w:rsid w:val="00AE03DE"/>
    <w:rsid w:val="00AE15A0"/>
    <w:rsid w:val="00AE25F0"/>
    <w:rsid w:val="00AE4D2B"/>
    <w:rsid w:val="00AE56AB"/>
    <w:rsid w:val="00AF1E9C"/>
    <w:rsid w:val="00AF41DA"/>
    <w:rsid w:val="00AF6BE9"/>
    <w:rsid w:val="00AF7C4C"/>
    <w:rsid w:val="00B005DF"/>
    <w:rsid w:val="00B009F9"/>
    <w:rsid w:val="00B0134B"/>
    <w:rsid w:val="00B0202E"/>
    <w:rsid w:val="00B03FBC"/>
    <w:rsid w:val="00B047DA"/>
    <w:rsid w:val="00B05BB3"/>
    <w:rsid w:val="00B11ED1"/>
    <w:rsid w:val="00B12431"/>
    <w:rsid w:val="00B12C4A"/>
    <w:rsid w:val="00B12FDC"/>
    <w:rsid w:val="00B13377"/>
    <w:rsid w:val="00B14A3F"/>
    <w:rsid w:val="00B1560C"/>
    <w:rsid w:val="00B2136F"/>
    <w:rsid w:val="00B22237"/>
    <w:rsid w:val="00B2237A"/>
    <w:rsid w:val="00B24229"/>
    <w:rsid w:val="00B2622E"/>
    <w:rsid w:val="00B275AD"/>
    <w:rsid w:val="00B3058B"/>
    <w:rsid w:val="00B31C56"/>
    <w:rsid w:val="00B40C44"/>
    <w:rsid w:val="00B4159D"/>
    <w:rsid w:val="00B44E57"/>
    <w:rsid w:val="00B4564F"/>
    <w:rsid w:val="00B46D88"/>
    <w:rsid w:val="00B50946"/>
    <w:rsid w:val="00B5285D"/>
    <w:rsid w:val="00B537AE"/>
    <w:rsid w:val="00B53D24"/>
    <w:rsid w:val="00B5535F"/>
    <w:rsid w:val="00B557DB"/>
    <w:rsid w:val="00B579F6"/>
    <w:rsid w:val="00B60093"/>
    <w:rsid w:val="00B61259"/>
    <w:rsid w:val="00B61C91"/>
    <w:rsid w:val="00B6204D"/>
    <w:rsid w:val="00B63D2A"/>
    <w:rsid w:val="00B6478E"/>
    <w:rsid w:val="00B66387"/>
    <w:rsid w:val="00B66706"/>
    <w:rsid w:val="00B6679C"/>
    <w:rsid w:val="00B714A5"/>
    <w:rsid w:val="00B7151A"/>
    <w:rsid w:val="00B72EB9"/>
    <w:rsid w:val="00B735E5"/>
    <w:rsid w:val="00B7478D"/>
    <w:rsid w:val="00B76162"/>
    <w:rsid w:val="00B771ED"/>
    <w:rsid w:val="00B80FE9"/>
    <w:rsid w:val="00B81173"/>
    <w:rsid w:val="00B82409"/>
    <w:rsid w:val="00B84592"/>
    <w:rsid w:val="00B9324C"/>
    <w:rsid w:val="00B934D8"/>
    <w:rsid w:val="00B976AC"/>
    <w:rsid w:val="00BA3846"/>
    <w:rsid w:val="00BA466E"/>
    <w:rsid w:val="00BA6D5E"/>
    <w:rsid w:val="00BA721B"/>
    <w:rsid w:val="00BB153B"/>
    <w:rsid w:val="00BB18C3"/>
    <w:rsid w:val="00BB1AC3"/>
    <w:rsid w:val="00BB45F6"/>
    <w:rsid w:val="00BB62B0"/>
    <w:rsid w:val="00BB7CD7"/>
    <w:rsid w:val="00BC2B17"/>
    <w:rsid w:val="00BC41D6"/>
    <w:rsid w:val="00BC75DB"/>
    <w:rsid w:val="00BD0017"/>
    <w:rsid w:val="00BD0E59"/>
    <w:rsid w:val="00BD169B"/>
    <w:rsid w:val="00BD55C1"/>
    <w:rsid w:val="00BD56F0"/>
    <w:rsid w:val="00BE1390"/>
    <w:rsid w:val="00BE5326"/>
    <w:rsid w:val="00BE6C60"/>
    <w:rsid w:val="00BE7E0F"/>
    <w:rsid w:val="00BF00CB"/>
    <w:rsid w:val="00BF0626"/>
    <w:rsid w:val="00BF120C"/>
    <w:rsid w:val="00BF19FC"/>
    <w:rsid w:val="00BF527D"/>
    <w:rsid w:val="00BF7618"/>
    <w:rsid w:val="00C01268"/>
    <w:rsid w:val="00C03B31"/>
    <w:rsid w:val="00C03EB1"/>
    <w:rsid w:val="00C05252"/>
    <w:rsid w:val="00C063AE"/>
    <w:rsid w:val="00C063BA"/>
    <w:rsid w:val="00C13668"/>
    <w:rsid w:val="00C144B7"/>
    <w:rsid w:val="00C149BF"/>
    <w:rsid w:val="00C1635A"/>
    <w:rsid w:val="00C203BE"/>
    <w:rsid w:val="00C21112"/>
    <w:rsid w:val="00C21CA2"/>
    <w:rsid w:val="00C26003"/>
    <w:rsid w:val="00C270E4"/>
    <w:rsid w:val="00C2735F"/>
    <w:rsid w:val="00C31193"/>
    <w:rsid w:val="00C313D0"/>
    <w:rsid w:val="00C32A59"/>
    <w:rsid w:val="00C34EC4"/>
    <w:rsid w:val="00C3540B"/>
    <w:rsid w:val="00C35544"/>
    <w:rsid w:val="00C40137"/>
    <w:rsid w:val="00C4565A"/>
    <w:rsid w:val="00C45809"/>
    <w:rsid w:val="00C46F4B"/>
    <w:rsid w:val="00C47A13"/>
    <w:rsid w:val="00C52499"/>
    <w:rsid w:val="00C5250F"/>
    <w:rsid w:val="00C52CFD"/>
    <w:rsid w:val="00C5597C"/>
    <w:rsid w:val="00C57721"/>
    <w:rsid w:val="00C622C7"/>
    <w:rsid w:val="00C654DC"/>
    <w:rsid w:val="00C661B2"/>
    <w:rsid w:val="00C70FDA"/>
    <w:rsid w:val="00C7175F"/>
    <w:rsid w:val="00C7190C"/>
    <w:rsid w:val="00C7256E"/>
    <w:rsid w:val="00C72A86"/>
    <w:rsid w:val="00C7385D"/>
    <w:rsid w:val="00C739DE"/>
    <w:rsid w:val="00C7634B"/>
    <w:rsid w:val="00C80384"/>
    <w:rsid w:val="00C8071A"/>
    <w:rsid w:val="00C82244"/>
    <w:rsid w:val="00C85176"/>
    <w:rsid w:val="00C8601C"/>
    <w:rsid w:val="00C90EBC"/>
    <w:rsid w:val="00C90F26"/>
    <w:rsid w:val="00C9193B"/>
    <w:rsid w:val="00C922DC"/>
    <w:rsid w:val="00C92646"/>
    <w:rsid w:val="00C93113"/>
    <w:rsid w:val="00C95B76"/>
    <w:rsid w:val="00CA0D51"/>
    <w:rsid w:val="00CA5C3E"/>
    <w:rsid w:val="00CA73E6"/>
    <w:rsid w:val="00CA7A4D"/>
    <w:rsid w:val="00CB0370"/>
    <w:rsid w:val="00CB1F43"/>
    <w:rsid w:val="00CB28B7"/>
    <w:rsid w:val="00CB49EB"/>
    <w:rsid w:val="00CB4C8E"/>
    <w:rsid w:val="00CB4E35"/>
    <w:rsid w:val="00CC1326"/>
    <w:rsid w:val="00CC13AB"/>
    <w:rsid w:val="00CC18C5"/>
    <w:rsid w:val="00CC1B22"/>
    <w:rsid w:val="00CC1E88"/>
    <w:rsid w:val="00CC26DD"/>
    <w:rsid w:val="00CC3C8A"/>
    <w:rsid w:val="00CC68DA"/>
    <w:rsid w:val="00CD19CD"/>
    <w:rsid w:val="00CD2D8E"/>
    <w:rsid w:val="00CD518D"/>
    <w:rsid w:val="00CD6C14"/>
    <w:rsid w:val="00CD705A"/>
    <w:rsid w:val="00CD7F5D"/>
    <w:rsid w:val="00CD7FC0"/>
    <w:rsid w:val="00CE5202"/>
    <w:rsid w:val="00CF0968"/>
    <w:rsid w:val="00CF18EB"/>
    <w:rsid w:val="00CF5949"/>
    <w:rsid w:val="00CF5E25"/>
    <w:rsid w:val="00CF7569"/>
    <w:rsid w:val="00D0016D"/>
    <w:rsid w:val="00D00EDA"/>
    <w:rsid w:val="00D01BBA"/>
    <w:rsid w:val="00D01E1D"/>
    <w:rsid w:val="00D01F20"/>
    <w:rsid w:val="00D02B8C"/>
    <w:rsid w:val="00D10E85"/>
    <w:rsid w:val="00D111F3"/>
    <w:rsid w:val="00D128AE"/>
    <w:rsid w:val="00D143A3"/>
    <w:rsid w:val="00D14C32"/>
    <w:rsid w:val="00D15134"/>
    <w:rsid w:val="00D200C5"/>
    <w:rsid w:val="00D22510"/>
    <w:rsid w:val="00D231B6"/>
    <w:rsid w:val="00D24101"/>
    <w:rsid w:val="00D269C9"/>
    <w:rsid w:val="00D27AC6"/>
    <w:rsid w:val="00D355A5"/>
    <w:rsid w:val="00D412E7"/>
    <w:rsid w:val="00D443C9"/>
    <w:rsid w:val="00D45479"/>
    <w:rsid w:val="00D46343"/>
    <w:rsid w:val="00D46D42"/>
    <w:rsid w:val="00D47147"/>
    <w:rsid w:val="00D50837"/>
    <w:rsid w:val="00D52496"/>
    <w:rsid w:val="00D551A8"/>
    <w:rsid w:val="00D56269"/>
    <w:rsid w:val="00D56EA7"/>
    <w:rsid w:val="00D60476"/>
    <w:rsid w:val="00D612EA"/>
    <w:rsid w:val="00D6219E"/>
    <w:rsid w:val="00D627BC"/>
    <w:rsid w:val="00D62F89"/>
    <w:rsid w:val="00D64381"/>
    <w:rsid w:val="00D6546A"/>
    <w:rsid w:val="00D6698D"/>
    <w:rsid w:val="00D709D5"/>
    <w:rsid w:val="00D72742"/>
    <w:rsid w:val="00D72CE3"/>
    <w:rsid w:val="00D72D19"/>
    <w:rsid w:val="00D8125E"/>
    <w:rsid w:val="00D827C2"/>
    <w:rsid w:val="00D84E3B"/>
    <w:rsid w:val="00D87EF5"/>
    <w:rsid w:val="00D90A4F"/>
    <w:rsid w:val="00D91998"/>
    <w:rsid w:val="00D91D7E"/>
    <w:rsid w:val="00D927D6"/>
    <w:rsid w:val="00D95518"/>
    <w:rsid w:val="00D97724"/>
    <w:rsid w:val="00DA0A5C"/>
    <w:rsid w:val="00DA52E8"/>
    <w:rsid w:val="00DA6BF9"/>
    <w:rsid w:val="00DA765F"/>
    <w:rsid w:val="00DB3388"/>
    <w:rsid w:val="00DB36EB"/>
    <w:rsid w:val="00DB6993"/>
    <w:rsid w:val="00DB74ED"/>
    <w:rsid w:val="00DC2197"/>
    <w:rsid w:val="00DC6CA4"/>
    <w:rsid w:val="00DD1465"/>
    <w:rsid w:val="00DD3F7A"/>
    <w:rsid w:val="00DD42E8"/>
    <w:rsid w:val="00DD458C"/>
    <w:rsid w:val="00DE25B7"/>
    <w:rsid w:val="00DE2B14"/>
    <w:rsid w:val="00DF0DAE"/>
    <w:rsid w:val="00DF195D"/>
    <w:rsid w:val="00DF3EB5"/>
    <w:rsid w:val="00DF5104"/>
    <w:rsid w:val="00DF5871"/>
    <w:rsid w:val="00E00227"/>
    <w:rsid w:val="00E00D41"/>
    <w:rsid w:val="00E029C1"/>
    <w:rsid w:val="00E03C21"/>
    <w:rsid w:val="00E04127"/>
    <w:rsid w:val="00E10D6E"/>
    <w:rsid w:val="00E127AA"/>
    <w:rsid w:val="00E15987"/>
    <w:rsid w:val="00E17FED"/>
    <w:rsid w:val="00E20B81"/>
    <w:rsid w:val="00E21521"/>
    <w:rsid w:val="00E226CD"/>
    <w:rsid w:val="00E22A16"/>
    <w:rsid w:val="00E22A99"/>
    <w:rsid w:val="00E2483A"/>
    <w:rsid w:val="00E27E9E"/>
    <w:rsid w:val="00E329AF"/>
    <w:rsid w:val="00E32FCB"/>
    <w:rsid w:val="00E333FE"/>
    <w:rsid w:val="00E36D5A"/>
    <w:rsid w:val="00E4302C"/>
    <w:rsid w:val="00E4308E"/>
    <w:rsid w:val="00E430E5"/>
    <w:rsid w:val="00E44370"/>
    <w:rsid w:val="00E50644"/>
    <w:rsid w:val="00E51A1A"/>
    <w:rsid w:val="00E544A0"/>
    <w:rsid w:val="00E54D1D"/>
    <w:rsid w:val="00E5645D"/>
    <w:rsid w:val="00E618F8"/>
    <w:rsid w:val="00E61BC4"/>
    <w:rsid w:val="00E643F5"/>
    <w:rsid w:val="00E71C0E"/>
    <w:rsid w:val="00E727FA"/>
    <w:rsid w:val="00E73879"/>
    <w:rsid w:val="00E7542D"/>
    <w:rsid w:val="00E80E8B"/>
    <w:rsid w:val="00E86D7D"/>
    <w:rsid w:val="00E91CA4"/>
    <w:rsid w:val="00E92719"/>
    <w:rsid w:val="00E9310B"/>
    <w:rsid w:val="00E9313D"/>
    <w:rsid w:val="00E956A4"/>
    <w:rsid w:val="00EA24CE"/>
    <w:rsid w:val="00EA562C"/>
    <w:rsid w:val="00EA5EF1"/>
    <w:rsid w:val="00EA6F19"/>
    <w:rsid w:val="00EA7F14"/>
    <w:rsid w:val="00EB1D1E"/>
    <w:rsid w:val="00EB32BE"/>
    <w:rsid w:val="00EB34A2"/>
    <w:rsid w:val="00EB37EB"/>
    <w:rsid w:val="00EB46A4"/>
    <w:rsid w:val="00EB49FD"/>
    <w:rsid w:val="00EB7FA2"/>
    <w:rsid w:val="00EC04FE"/>
    <w:rsid w:val="00EC0E81"/>
    <w:rsid w:val="00EC4263"/>
    <w:rsid w:val="00EC7F0E"/>
    <w:rsid w:val="00ED13E6"/>
    <w:rsid w:val="00ED47E1"/>
    <w:rsid w:val="00EE19DA"/>
    <w:rsid w:val="00EE381F"/>
    <w:rsid w:val="00EE4B9C"/>
    <w:rsid w:val="00EE557C"/>
    <w:rsid w:val="00EE57DA"/>
    <w:rsid w:val="00EF0990"/>
    <w:rsid w:val="00EF47DA"/>
    <w:rsid w:val="00EF5D7E"/>
    <w:rsid w:val="00F00E23"/>
    <w:rsid w:val="00F021DE"/>
    <w:rsid w:val="00F03F97"/>
    <w:rsid w:val="00F05AC8"/>
    <w:rsid w:val="00F06392"/>
    <w:rsid w:val="00F10AEA"/>
    <w:rsid w:val="00F1227D"/>
    <w:rsid w:val="00F12FC3"/>
    <w:rsid w:val="00F17994"/>
    <w:rsid w:val="00F17E03"/>
    <w:rsid w:val="00F2100B"/>
    <w:rsid w:val="00F22F73"/>
    <w:rsid w:val="00F24484"/>
    <w:rsid w:val="00F315BC"/>
    <w:rsid w:val="00F32176"/>
    <w:rsid w:val="00F33736"/>
    <w:rsid w:val="00F33EBC"/>
    <w:rsid w:val="00F35032"/>
    <w:rsid w:val="00F368BF"/>
    <w:rsid w:val="00F405D5"/>
    <w:rsid w:val="00F433BF"/>
    <w:rsid w:val="00F44239"/>
    <w:rsid w:val="00F47077"/>
    <w:rsid w:val="00F47EB4"/>
    <w:rsid w:val="00F55F07"/>
    <w:rsid w:val="00F567B3"/>
    <w:rsid w:val="00F62E77"/>
    <w:rsid w:val="00F650DA"/>
    <w:rsid w:val="00F6541A"/>
    <w:rsid w:val="00F656AA"/>
    <w:rsid w:val="00F67787"/>
    <w:rsid w:val="00F67CEA"/>
    <w:rsid w:val="00F67F02"/>
    <w:rsid w:val="00F708D7"/>
    <w:rsid w:val="00F71B69"/>
    <w:rsid w:val="00F71CEE"/>
    <w:rsid w:val="00F73CCF"/>
    <w:rsid w:val="00F7414B"/>
    <w:rsid w:val="00F76B50"/>
    <w:rsid w:val="00F80EAD"/>
    <w:rsid w:val="00F8189B"/>
    <w:rsid w:val="00F81B5D"/>
    <w:rsid w:val="00F83BBD"/>
    <w:rsid w:val="00F86F1D"/>
    <w:rsid w:val="00F906A3"/>
    <w:rsid w:val="00F90970"/>
    <w:rsid w:val="00F947A7"/>
    <w:rsid w:val="00F970BA"/>
    <w:rsid w:val="00FA0993"/>
    <w:rsid w:val="00FA1206"/>
    <w:rsid w:val="00FA1321"/>
    <w:rsid w:val="00FA2D95"/>
    <w:rsid w:val="00FA356A"/>
    <w:rsid w:val="00FA6849"/>
    <w:rsid w:val="00FA75AC"/>
    <w:rsid w:val="00FB2AAB"/>
    <w:rsid w:val="00FB3BBB"/>
    <w:rsid w:val="00FB796A"/>
    <w:rsid w:val="00FB7A90"/>
    <w:rsid w:val="00FC09FE"/>
    <w:rsid w:val="00FC2618"/>
    <w:rsid w:val="00FC2EB6"/>
    <w:rsid w:val="00FC3CAA"/>
    <w:rsid w:val="00FC7A47"/>
    <w:rsid w:val="00FD115E"/>
    <w:rsid w:val="00FD1DE9"/>
    <w:rsid w:val="00FD290D"/>
    <w:rsid w:val="00FD3BD7"/>
    <w:rsid w:val="00FD77E5"/>
    <w:rsid w:val="00FE0FBF"/>
    <w:rsid w:val="00FE1953"/>
    <w:rsid w:val="00FE2614"/>
    <w:rsid w:val="00FE3E23"/>
    <w:rsid w:val="00FE4A23"/>
    <w:rsid w:val="00FE752E"/>
    <w:rsid w:val="00FE7D5F"/>
    <w:rsid w:val="00FF0A94"/>
    <w:rsid w:val="00FF1CDC"/>
    <w:rsid w:val="00FF6730"/>
    <w:rsid w:val="00FF7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Pr>
      <w:rFonts w:ascii="Verdana" w:hAnsi="Verdana"/>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5B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rsid w:val="008D1276"/>
    <w:rPr>
      <w:color w:val="0000FF"/>
      <w:u w:val="single"/>
    </w:rPr>
  </w:style>
  <w:style w:type="paragraph" w:styleId="Jalus">
    <w:name w:val="footer"/>
    <w:basedOn w:val="Normaallaad"/>
    <w:rsid w:val="00EE57DA"/>
    <w:pPr>
      <w:tabs>
        <w:tab w:val="center" w:pos="4153"/>
        <w:tab w:val="right" w:pos="8306"/>
      </w:tabs>
    </w:pPr>
  </w:style>
  <w:style w:type="character" w:styleId="Lehekljenumber">
    <w:name w:val="page number"/>
    <w:basedOn w:val="Liguvaikefont"/>
    <w:rsid w:val="00EE57DA"/>
  </w:style>
  <w:style w:type="paragraph" w:styleId="Pis">
    <w:name w:val="header"/>
    <w:basedOn w:val="Normaallaad"/>
    <w:rsid w:val="008A7568"/>
    <w:pPr>
      <w:tabs>
        <w:tab w:val="center" w:pos="4153"/>
        <w:tab w:val="right" w:pos="8306"/>
      </w:tabs>
    </w:pPr>
  </w:style>
  <w:style w:type="paragraph" w:styleId="Jutumullitekst">
    <w:name w:val="Balloon Text"/>
    <w:basedOn w:val="Normaallaad"/>
    <w:link w:val="JutumullitekstMrk"/>
    <w:rsid w:val="005A3ABE"/>
    <w:rPr>
      <w:rFonts w:ascii="Tahoma" w:hAnsi="Tahoma" w:cs="Tahoma"/>
      <w:sz w:val="16"/>
      <w:szCs w:val="16"/>
    </w:rPr>
  </w:style>
  <w:style w:type="character" w:customStyle="1" w:styleId="JutumullitekstMrk">
    <w:name w:val="Jutumullitekst Märk"/>
    <w:basedOn w:val="Liguvaikefont"/>
    <w:link w:val="Jutumullitekst"/>
    <w:rsid w:val="005A3ABE"/>
    <w:rPr>
      <w:rFonts w:ascii="Tahoma" w:hAnsi="Tahoma" w:cs="Tahoma"/>
      <w:sz w:val="16"/>
      <w:szCs w:val="16"/>
      <w:lang w:eastAsia="en-US"/>
    </w:rPr>
  </w:style>
  <w:style w:type="paragraph" w:styleId="Loendilik">
    <w:name w:val="List Paragraph"/>
    <w:basedOn w:val="Normaallaad"/>
    <w:uiPriority w:val="34"/>
    <w:qFormat/>
    <w:rsid w:val="006E5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Pr>
      <w:rFonts w:ascii="Verdana" w:hAnsi="Verdana"/>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5B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rsid w:val="008D1276"/>
    <w:rPr>
      <w:color w:val="0000FF"/>
      <w:u w:val="single"/>
    </w:rPr>
  </w:style>
  <w:style w:type="paragraph" w:styleId="Jalus">
    <w:name w:val="footer"/>
    <w:basedOn w:val="Normaallaad"/>
    <w:rsid w:val="00EE57DA"/>
    <w:pPr>
      <w:tabs>
        <w:tab w:val="center" w:pos="4153"/>
        <w:tab w:val="right" w:pos="8306"/>
      </w:tabs>
    </w:pPr>
  </w:style>
  <w:style w:type="character" w:styleId="Lehekljenumber">
    <w:name w:val="page number"/>
    <w:basedOn w:val="Liguvaikefont"/>
    <w:rsid w:val="00EE57DA"/>
  </w:style>
  <w:style w:type="paragraph" w:styleId="Pis">
    <w:name w:val="header"/>
    <w:basedOn w:val="Normaallaad"/>
    <w:rsid w:val="008A7568"/>
    <w:pPr>
      <w:tabs>
        <w:tab w:val="center" w:pos="4153"/>
        <w:tab w:val="right" w:pos="8306"/>
      </w:tabs>
    </w:pPr>
  </w:style>
  <w:style w:type="paragraph" w:styleId="Jutumullitekst">
    <w:name w:val="Balloon Text"/>
    <w:basedOn w:val="Normaallaad"/>
    <w:link w:val="JutumullitekstMrk"/>
    <w:rsid w:val="005A3ABE"/>
    <w:rPr>
      <w:rFonts w:ascii="Tahoma" w:hAnsi="Tahoma" w:cs="Tahoma"/>
      <w:sz w:val="16"/>
      <w:szCs w:val="16"/>
    </w:rPr>
  </w:style>
  <w:style w:type="character" w:customStyle="1" w:styleId="JutumullitekstMrk">
    <w:name w:val="Jutumullitekst Märk"/>
    <w:basedOn w:val="Liguvaikefont"/>
    <w:link w:val="Jutumullitekst"/>
    <w:rsid w:val="005A3ABE"/>
    <w:rPr>
      <w:rFonts w:ascii="Tahoma" w:hAnsi="Tahoma" w:cs="Tahoma"/>
      <w:sz w:val="16"/>
      <w:szCs w:val="16"/>
      <w:lang w:eastAsia="en-US"/>
    </w:rPr>
  </w:style>
  <w:style w:type="paragraph" w:styleId="Loendilik">
    <w:name w:val="List Paragraph"/>
    <w:basedOn w:val="Normaallaad"/>
    <w:uiPriority w:val="34"/>
    <w:qFormat/>
    <w:rsid w:val="006E5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vo@tinni.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vo@tinni.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5652-CD64-4631-9F07-1E763150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10365</Characters>
  <Application>Microsoft Office Word</Application>
  <DocSecurity>0</DocSecurity>
  <Lines>86</Lines>
  <Paragraphs>24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ABI Group</Company>
  <LinksUpToDate>false</LinksUpToDate>
  <CharactersWithSpaces>12127</CharactersWithSpaces>
  <SharedDoc>false</SharedDoc>
  <HLinks>
    <vt:vector size="6" baseType="variant">
      <vt:variant>
        <vt:i4>2621515</vt:i4>
      </vt:variant>
      <vt:variant>
        <vt:i4>0</vt:i4>
      </vt:variant>
      <vt:variant>
        <vt:i4>0</vt:i4>
      </vt:variant>
      <vt:variant>
        <vt:i4>5</vt:i4>
      </vt:variant>
      <vt:variant>
        <vt:lpwstr>mailto:arvo@tinni.com.au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farnott</dc:creator>
  <cp:lastModifiedBy>Merle Ehasalu</cp:lastModifiedBy>
  <cp:revision>3</cp:revision>
  <cp:lastPrinted>2015-10-23T08:49:00Z</cp:lastPrinted>
  <dcterms:created xsi:type="dcterms:W3CDTF">2015-11-02T10:44:00Z</dcterms:created>
  <dcterms:modified xsi:type="dcterms:W3CDTF">2015-11-02T10:45:00Z</dcterms:modified>
</cp:coreProperties>
</file>